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sz w:val="32"/>
          <w:szCs w:val="32"/>
        </w:rPr>
      </w:pPr>
      <w:r w:rsidDel="00000000" w:rsidR="00000000" w:rsidRPr="00000000">
        <w:rPr>
          <w:b w:val="1"/>
          <w:bCs w:val="1"/>
          <w:sz w:val="32"/>
          <w:szCs w:val="32"/>
          <w:rtl w:val="0"/>
        </w:rPr>
        <w:t xml:space="preserve">MEDIENMITTEILUNG zum Equal Pay Day 2026</w:t>
      </w:r>
    </w:p>
    <w:p w:rsidR="00000000" w:rsidDel="00000000" w:rsidP="00000000" w:rsidRDefault="00000000" w:rsidRPr="00000000" w14:paraId="00000002">
      <w:pPr>
        <w:pStyle w:val="Heading2"/>
        <w:rPr>
          <w:b w:val="1"/>
          <w:bCs w:val="1"/>
          <w:u w:val="none"/>
        </w:rPr>
      </w:pPr>
      <w:r w:rsidDel="00000000" w:rsidR="00000000" w:rsidRPr="00000000">
        <w:rPr>
          <w:rtl w:val="0"/>
        </w:rPr>
      </w:r>
    </w:p>
    <w:p w:rsidR="00000000" w:rsidDel="00000000" w:rsidP="00000000" w:rsidRDefault="00000000" w:rsidRPr="00000000" w14:paraId="00000003">
      <w:pPr>
        <w:pStyle w:val="Heading2"/>
        <w:rPr>
          <w:b w:val="1"/>
          <w:bCs w:val="1"/>
          <w:u w:val="none"/>
        </w:rPr>
      </w:pPr>
      <w:r w:rsidDel="00000000" w:rsidR="00000000" w:rsidRPr="00000000">
        <w:rPr>
          <w:b w:val="1"/>
          <w:bCs w:val="1"/>
          <w:u w:val="none"/>
          <w:rtl w:val="0"/>
        </w:rPr>
        <w:t xml:space="preserve">Equal Pay Day 2026 am 11. Februar – Der rote Faden der Ungleichheit kostet den Standort Milliarden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Wien – Februar 2026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11. Februar 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ist Equal Pay Day. Frauen verdienen in Österreich aktuell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11,</w:t>
      </w:r>
      <w:r w:rsidDel="00000000" w:rsidR="00000000" w:rsidRPr="00000000">
        <w:rPr>
          <w:b w:val="1"/>
          <w:bCs w:val="1"/>
          <w:color w:val="000000"/>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 weniger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als Männer. Das entspricht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42 Tagen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 denen Frauen rechnerisch unbezahlt arbeiten. Grundlage sind die Median-Bruttojahreseinkommen 2024 der ganzjährig Vollzeitbeschäftigten gemäß Statistik Austria.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Doch der Gender Pay Gap ist kein statistisches Detail. Er ist ein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roter Faden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der sich durch das gesamte Erwerbsleben zieht – und er kostet.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Einkommenslücke beginnt bereits in der Ausbildung: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weibliche Lehrlinge verdienen 7,8 % weniger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als ihre männlichen Kollegen. Im aktiven Berufsleben beträgt der Unterschied 11,</w:t>
      </w:r>
      <w:r w:rsidDel="00000000" w:rsidR="00000000" w:rsidRPr="00000000">
        <w:rPr>
          <w:color w:val="000000"/>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im Alter liegt die Pensionslücke bei rund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36 %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Ungleiche Bezahlung begleitet Frauen ein Leben lang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„Vom ersten Lohn bis zur Pension.“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Dieser rote Faden der Ungleichheit bedeutet geringere Kaufkraft, niedrigere Steuer- und Sozialversicherungsbeiträge, geringere Investitionsfähigkeit und ein höheres Risiko </w:t>
      </w:r>
      <w:r w:rsidDel="00000000" w:rsidR="00000000" w:rsidRPr="00000000">
        <w:rPr>
          <w:color w:val="000000"/>
          <w:rtl w:val="0"/>
        </w:rPr>
        <w:t xml:space="preserve">für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Altersarmut. Wer Frauen systematisch schlechter bezahlt, schwächt die Binnenwirtschaft, reduziert das Fachkräftepotenzial und belastet langfristig das Pensionssystem.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„Wir reden hier nicht über Symbolpolitik. Wir reden über Standortpolitik“, betont Rita Volgger, Präsidentin von BPW Austria. „Österreich kann es sich in Zeiten von Fachkräftemangel und wirtschaftlicher Unsicherheit nicht leisten, Frauen finanziell auszubremsen. Der Gender Pay Gap ist kein individuelles Problem – er ist ein strukturelles Versäumnis.“</w:t>
      </w:r>
    </w:p>
    <w:p w:rsidR="00000000" w:rsidDel="00000000" w:rsidP="00000000" w:rsidRDefault="00000000" w:rsidRPr="00000000" w14:paraId="00000012">
      <w:pPr>
        <w:pStyle w:val="Heading2"/>
        <w:rPr>
          <w:b w:val="1"/>
          <w:bCs w:val="1"/>
          <w:u w:val="none"/>
        </w:rPr>
      </w:pPr>
      <w:r w:rsidDel="00000000" w:rsidR="00000000" w:rsidRPr="00000000">
        <w:rPr>
          <w:rtl w:val="0"/>
        </w:rPr>
      </w:r>
    </w:p>
    <w:p w:rsidR="00000000" w:rsidDel="00000000" w:rsidP="00000000" w:rsidRDefault="00000000" w:rsidRPr="00000000" w14:paraId="00000013">
      <w:pPr>
        <w:pStyle w:val="Heading2"/>
        <w:rPr>
          <w:b w:val="1"/>
          <w:bCs w:val="1"/>
          <w:u w:val="none"/>
        </w:rPr>
      </w:pPr>
      <w:r w:rsidDel="00000000" w:rsidR="00000000" w:rsidRPr="00000000">
        <w:rPr>
          <w:b w:val="1"/>
          <w:bCs w:val="1"/>
          <w:u w:val="none"/>
          <w:rtl w:val="0"/>
        </w:rPr>
        <w:t xml:space="preserve">Regionale Unterschiede verschärfen die Schieflage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Während Wien mit 4,2 % die geringste Einkommenslücke aufweist, liegt Vorarlberg mit 20,1 % am Ende des Bundesländervergleichs. Es macht einen entscheidenden Unterschied, wo Frau lebt und arbeitet.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Besonders betroffen sind Arbeiterinnen (-25,1 %) und Angestellte (-27,9 %). Das sind keine Verhandlungsschwächen, sondern strukturelle Ungleichheiten im Arbeitsmarkt.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2"/>
        <w:rPr>
          <w:b w:val="1"/>
          <w:bCs w:val="1"/>
          <w:u w:val="none"/>
        </w:rPr>
      </w:pPr>
      <w:r w:rsidDel="00000000" w:rsidR="00000000" w:rsidRPr="00000000">
        <w:rPr>
          <w:rtl w:val="0"/>
        </w:rPr>
      </w:r>
    </w:p>
    <w:p w:rsidR="00000000" w:rsidDel="00000000" w:rsidP="00000000" w:rsidRDefault="00000000" w:rsidRPr="00000000" w14:paraId="0000001A">
      <w:pPr>
        <w:pStyle w:val="Heading2"/>
        <w:rPr>
          <w:b w:val="1"/>
          <w:bCs w:val="1"/>
          <w:u w:val="none"/>
        </w:rPr>
      </w:pPr>
      <w:r w:rsidDel="00000000" w:rsidR="00000000" w:rsidRPr="00000000">
        <w:rPr>
          <w:b w:val="1"/>
          <w:bCs w:val="1"/>
          <w:u w:val="none"/>
          <w:rtl w:val="0"/>
        </w:rPr>
        <w:t xml:space="preserve">Kampagne 2026: Den roten Faden sichtbar machen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Mit der Kampagne zum Equal Pay Day 2026 macht BPW Austria diesen roten Faden der EinkommensUNgerechtigkeit sichtbar – von der Ausbildung über das Erwerbsleben bis ins Alter.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Botschaft ist klar: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Solange gleiche Arbeit nicht gleich bezahlt wird, bleibt Gleichstellung unvollendet – wirtschaftlich wie gesellschaftlich.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BPW Austria fordert: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39"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umgehende und verbindliche Umsetzung der EU-Richtlinie zur Lohntransparenz in nationales Recht (#equalpayJETZT),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39"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verpflichtende Einkommensberichte für Unternehmen,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39"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steuerliche Anreize für nachweislich faire Bezahlung,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39"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gleiche Bezahlung für gleiche und gleichwertige Arbeit,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39"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Investitionen in </w:t>
      </w:r>
      <w:r w:rsidDel="00000000" w:rsidR="00000000" w:rsidRPr="00000000">
        <w:rPr>
          <w:color w:val="000000"/>
          <w:rtl w:val="0"/>
        </w:rPr>
        <w:t xml:space="preserve">qualitätsvolle, flächendeckende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Kinderbetreuung als wirtschaftliche Infrastruktur,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39"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strukturelle Maßnahmen zur gerechten Verteilung von Care-Arbeit.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„Transparenz schafft Fairness. Fairness schafft Wettbewerbsfähigkeit.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Wer heute nicht handelt, riskiert morgen Wohlstand“,</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 Volgger.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Equal Pay Day 2026 zeigt: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Ungleiche Bezahlung ist kein Zufall – sie ist ein Muster. Und dieses Muster durchzieht Österreich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vom ersten Lohn bis zur Pension.</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#equalpayday #equalpayJETZT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Weitere Informationen: </w:t>
      </w:r>
      <w:hyperlink r:id="rId7">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www.equal-pay-day.at</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3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color w:val="000000"/>
          <w:sz w:val="36"/>
          <w:szCs w:val="36"/>
        </w:rPr>
      </w:pPr>
      <w:r w:rsidDel="00000000" w:rsidR="00000000" w:rsidRPr="00000000">
        <w:rPr>
          <w:b w:val="1"/>
          <w:bCs w:val="1"/>
          <w:color w:val="000000"/>
          <w:sz w:val="36"/>
          <w:szCs w:val="36"/>
          <w:rtl w:val="0"/>
        </w:rPr>
        <w:t xml:space="preserve">Daten / Quellen:</w:t>
      </w:r>
    </w:p>
    <w:p w:rsidR="00000000" w:rsidDel="00000000" w:rsidP="00000000" w:rsidRDefault="00000000" w:rsidRPr="00000000" w14:paraId="00000037">
      <w:pPr>
        <w:rPr>
          <w:color w:val="000000"/>
          <w:sz w:val="20"/>
          <w:szCs w:val="20"/>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tabs>
          <w:tab w:val="center" w:leader="none" w:pos="2552"/>
        </w:tabs>
        <w:rPr>
          <w:color w:val="292c29"/>
          <w:sz w:val="20"/>
          <w:szCs w:val="20"/>
        </w:rPr>
      </w:pPr>
      <w:r w:rsidDel="00000000" w:rsidR="00000000" w:rsidRPr="00000000">
        <w:rPr>
          <w:b w:val="1"/>
          <w:bCs w:val="1"/>
          <w:i w:val="1"/>
          <w:iCs w:val="1"/>
          <w:color w:val="000000"/>
          <w:rtl w:val="0"/>
        </w:rPr>
        <w:t xml:space="preserve">Statistik – Grundlage des Equal Pay Day 2026</w:t>
      </w:r>
      <w:r w:rsidDel="00000000" w:rsidR="00000000" w:rsidRPr="00000000">
        <w:rPr>
          <w:b w:val="1"/>
          <w:bCs w:val="1"/>
          <w:i w:val="1"/>
          <w:iCs w:val="1"/>
          <w:color w:val="000000"/>
          <w:sz w:val="16"/>
          <w:szCs w:val="16"/>
          <w:rtl w:val="0"/>
        </w:rPr>
        <w:br w:type="textWrapping"/>
        <w:br w:type="textWrapping"/>
      </w:r>
      <w:r w:rsidDel="00000000" w:rsidR="00000000" w:rsidRPr="00000000">
        <w:rPr>
          <w:color w:val="292c29"/>
          <w:sz w:val="16"/>
          <w:szCs w:val="16"/>
          <w:rtl w:val="0"/>
        </w:rPr>
        <w:t xml:space="preserve">Arbeiter*innen </w:t>
        <w:tab/>
        <w:t xml:space="preserve">-</w:t>
        <w:tab/>
        <w:t xml:space="preserve">25,1 %</w:t>
        <w:br w:type="textWrapping"/>
        <w:t xml:space="preserve">Angestellte </w:t>
        <w:tab/>
        <w:t xml:space="preserve">-</w:t>
        <w:tab/>
        <w:t xml:space="preserve">27,9 %</w:t>
        <w:br w:type="textWrapping"/>
        <w:t xml:space="preserve">Vertragsbedienstete </w:t>
        <w:tab/>
        <w:t xml:space="preserve">-</w:t>
        <w:tab/>
        <w:t xml:space="preserve"> 6,1 %</w:t>
        <w:br w:type="textWrapping"/>
      </w:r>
      <w:r w:rsidDel="00000000" w:rsidR="00000000" w:rsidRPr="00000000">
        <w:rPr>
          <w:color w:val="292c29"/>
          <w:sz w:val="16"/>
          <w:szCs w:val="16"/>
          <w:u w:val="single"/>
          <w:rtl w:val="0"/>
        </w:rPr>
        <w:t xml:space="preserve">Beamt*innen mehr</w:t>
        <w:tab/>
        <w:t xml:space="preserve">+</w:t>
        <w:tab/>
        <w:t xml:space="preserve"> 4,8 %</w:t>
      </w:r>
      <w:r w:rsidDel="00000000" w:rsidR="00000000" w:rsidRPr="00000000">
        <w:rPr>
          <w:color w:val="292c29"/>
          <w:sz w:val="16"/>
          <w:szCs w:val="16"/>
          <w:rtl w:val="0"/>
        </w:rPr>
        <w:br w:type="textWrapping"/>
      </w:r>
      <w:r w:rsidDel="00000000" w:rsidR="00000000" w:rsidRPr="00000000">
        <w:rPr>
          <w:b w:val="1"/>
          <w:bCs w:val="1"/>
          <w:color w:val="292c29"/>
          <w:sz w:val="16"/>
          <w:szCs w:val="16"/>
          <w:rtl w:val="0"/>
        </w:rPr>
        <w:t xml:space="preserve">Summe</w:t>
        <w:tab/>
        <w:t xml:space="preserve">-</w:t>
        <w:tab/>
        <w:t xml:space="preserve">11,6 %  </w:t>
      </w:r>
      <w:r w:rsidDel="00000000" w:rsidR="00000000" w:rsidRPr="00000000">
        <w:rPr>
          <w:rtl w:val="0"/>
        </w:rPr>
      </w:r>
    </w:p>
    <w:p w:rsidR="00000000" w:rsidDel="00000000" w:rsidP="00000000" w:rsidRDefault="00000000" w:rsidRPr="00000000" w14:paraId="00000039">
      <w:pPr>
        <w:spacing w:after="280" w:before="280" w:lineRule="auto"/>
        <w:rPr>
          <w:b w:val="1"/>
          <w:bCs w:val="1"/>
          <w:color w:val="000000"/>
          <w:sz w:val="16"/>
          <w:szCs w:val="16"/>
        </w:rPr>
      </w:pPr>
      <w:r w:rsidDel="00000000" w:rsidR="00000000" w:rsidRPr="00000000">
        <w:rPr>
          <w:b w:val="1"/>
          <w:bCs w:val="1"/>
          <w:color w:val="000000"/>
          <w:sz w:val="16"/>
          <w:szCs w:val="16"/>
          <w:rtl w:val="0"/>
        </w:rPr>
        <w:t xml:space="preserve">Link: </w:t>
      </w:r>
      <w:hyperlink r:id="rId8">
        <w:r w:rsidDel="00000000" w:rsidR="00000000" w:rsidRPr="00000000">
          <w:rPr>
            <w:b w:val="1"/>
            <w:bCs w:val="1"/>
            <w:color w:val="0000ff"/>
            <w:sz w:val="16"/>
            <w:szCs w:val="16"/>
            <w:u w:val="single"/>
            <w:rtl w:val="0"/>
          </w:rPr>
          <w:t xml:space="preserve">Statistik Austria &gt; Mittlere Bruttojahreseinkommen der ganzjährig Vollzeitbeschäftigten Frauen und Männern 202</w:t>
        </w:r>
      </w:hyperlink>
      <w:r w:rsidDel="00000000" w:rsidR="00000000" w:rsidRPr="00000000">
        <w:rPr>
          <w:b w:val="1"/>
          <w:bCs w:val="1"/>
          <w:color w:val="000000"/>
          <w:sz w:val="16"/>
          <w:szCs w:val="16"/>
          <w:rtl w:val="0"/>
        </w:rPr>
        <w:t xml:space="preserve">4</w:t>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after="280" w:before="280" w:lineRule="auto"/>
        <w:rPr>
          <w:b w:val="1"/>
          <w:bCs w:val="1"/>
          <w:i w:val="1"/>
          <w:iCs w:val="1"/>
          <w:color w:val="000000"/>
        </w:rPr>
      </w:pPr>
      <w:r w:rsidDel="00000000" w:rsidR="00000000" w:rsidRPr="00000000">
        <w:rPr>
          <w:b w:val="1"/>
          <w:bCs w:val="1"/>
          <w:i w:val="1"/>
          <w:iCs w:val="1"/>
          <w:color w:val="000000"/>
          <w:rtl w:val="0"/>
        </w:rPr>
        <w:t xml:space="preserve">Die Formel zur Berechnung des Equal Pay Day</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after="280" w:before="280" w:lineRule="auto"/>
        <w:rPr>
          <w:color w:val="000000"/>
          <w:sz w:val="16"/>
          <w:szCs w:val="16"/>
        </w:rPr>
      </w:pPr>
      <w:r w:rsidDel="00000000" w:rsidR="00000000" w:rsidRPr="00000000">
        <w:rPr>
          <w:color w:val="000000"/>
          <w:sz w:val="16"/>
          <w:szCs w:val="16"/>
          <w:rtl w:val="0"/>
        </w:rPr>
        <w:t xml:space="preserve">Der Equal Pay Day ist zwar ein symbolischer Aktionstag, hinter dem jedoch statistische Zahlen stehen. </w:t>
        <w:br w:type="textWrapping"/>
        <w:t xml:space="preserve">Die Formel für die Berechnung ist denkbar einfach und kann auf jedem Bierdeckel nachgerechnet werden.</w:t>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spacing w:after="280" w:before="280" w:lineRule="auto"/>
        <w:rPr>
          <w:color w:val="292c29"/>
          <w:sz w:val="16"/>
          <w:szCs w:val="16"/>
        </w:rPr>
      </w:pPr>
      <w:r w:rsidDel="00000000" w:rsidR="00000000" w:rsidRPr="00000000">
        <w:rPr>
          <w:color w:val="292c29"/>
          <w:sz w:val="16"/>
          <w:szCs w:val="16"/>
        </w:rPr>
        <w:drawing>
          <wp:inline distB="114300" distT="114300" distL="114300" distR="114300">
            <wp:extent cx="4209733" cy="571500"/>
            <wp:effectExtent b="0" l="0" r="0" t="0"/>
            <wp:docPr id="35" name="image3.png"/>
            <a:graphic>
              <a:graphicData uri="http://schemas.openxmlformats.org/drawingml/2006/picture">
                <pic:pic>
                  <pic:nvPicPr>
                    <pic:cNvPr id="0" name="image3.png"/>
                    <pic:cNvPicPr preferRelativeResize="0"/>
                  </pic:nvPicPr>
                  <pic:blipFill>
                    <a:blip r:embed="rId9"/>
                    <a:srcRect b="6637" l="0" r="0" t="0"/>
                    <a:stretch>
                      <a:fillRect/>
                    </a:stretch>
                  </pic:blipFill>
                  <pic:spPr>
                    <a:xfrm>
                      <a:off x="0" y="0"/>
                      <a:ext cx="4209733"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after="280" w:before="280" w:lineRule="auto"/>
        <w:rPr>
          <w:color w:val="292c29"/>
          <w:sz w:val="16"/>
          <w:szCs w:val="16"/>
        </w:rPr>
      </w:pPr>
      <w:r w:rsidDel="00000000" w:rsidR="00000000" w:rsidRPr="00000000">
        <w:rPr>
          <w:color w:val="292c29"/>
          <w:sz w:val="16"/>
          <w:szCs w:val="16"/>
        </w:rPr>
        <w:drawing>
          <wp:inline distB="114300" distT="114300" distL="114300" distR="114300">
            <wp:extent cx="4243395" cy="609600"/>
            <wp:effectExtent b="0" l="0" r="0" t="0"/>
            <wp:docPr id="3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424339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pacing w:after="280" w:before="280" w:lineRule="auto"/>
        <w:rPr>
          <w:b w:val="1"/>
          <w:bCs w:val="1"/>
          <w:color w:val="000000"/>
          <w:sz w:val="16"/>
          <w:szCs w:val="16"/>
        </w:rPr>
      </w:pPr>
      <w:r w:rsidDel="00000000" w:rsidR="00000000" w:rsidRPr="00000000">
        <w:rPr>
          <w:color w:val="292c29"/>
          <w:sz w:val="16"/>
          <w:szCs w:val="16"/>
          <w:rtl w:val="0"/>
        </w:rPr>
        <w:t xml:space="preserve">11,6 % Unterschied ergeben 42 Tage, daher fällt der EPD 2026 auf den 11. Februar</w:t>
      </w: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after="280" w:before="280" w:lineRule="auto"/>
        <w:rPr>
          <w:b w:val="1"/>
          <w:bCs w:val="1"/>
          <w:color w:val="000000"/>
          <w:sz w:val="16"/>
          <w:szCs w:val="16"/>
        </w:rPr>
      </w:pPr>
      <w:r w:rsidDel="00000000" w:rsidR="00000000" w:rsidRPr="00000000">
        <w:rPr>
          <w:rtl w:val="0"/>
        </w:rPr>
      </w:r>
    </w:p>
    <w:p w:rsidR="00000000" w:rsidDel="00000000" w:rsidP="00000000" w:rsidRDefault="00000000" w:rsidRPr="00000000" w14:paraId="00000040">
      <w:pPr>
        <w:spacing w:after="280" w:before="280" w:lineRule="auto"/>
        <w:rPr>
          <w:b w:val="1"/>
          <w:bCs w:val="1"/>
          <w:color w:val="000000"/>
          <w:sz w:val="16"/>
          <w:szCs w:val="16"/>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b w:val="1"/>
          <w:bCs w:val="1"/>
          <w:i w:val="1"/>
          <w:iCs w:val="1"/>
          <w:color w:val="292c29"/>
          <w:rtl w:val="0"/>
        </w:rPr>
        <w:t xml:space="preserve">Regionale Unterschiede: GPG nach Bundesländern</w:t>
      </w:r>
      <w:r w:rsidDel="00000000" w:rsidR="00000000" w:rsidRPr="00000000">
        <w:rPr>
          <w:color w:val="292c29"/>
          <w:sz w:val="20"/>
          <w:szCs w:val="20"/>
          <w:rtl w:val="0"/>
        </w:rPr>
        <w:br w:type="textWrapping"/>
        <w:br w:type="textWrapping"/>
      </w:r>
      <w:r w:rsidDel="00000000" w:rsidR="00000000" w:rsidRPr="00000000">
        <w:rPr>
          <w:color w:val="292c29"/>
          <w:sz w:val="16"/>
          <w:szCs w:val="16"/>
          <w:rtl w:val="0"/>
        </w:rPr>
        <w:t xml:space="preserve">Wien</w:t>
        <w:tab/>
        <w:t xml:space="preserve">-</w:t>
        <w:tab/>
        <w:t xml:space="preserve"> 4,2 %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NÖ</w:t>
        <w:tab/>
        <w:t xml:space="preserve">-</w:t>
        <w:tab/>
        <w:t xml:space="preserve">11,1 % </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Kärnten</w:t>
        <w:tab/>
        <w:t xml:space="preserve">-</w:t>
        <w:tab/>
        <w:t xml:space="preserve">12,7 %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Burgenland </w:t>
        <w:tab/>
        <w:t xml:space="preserve">-</w:t>
        <w:tab/>
        <w:t xml:space="preserve">11,7 %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Salzburg </w:t>
        <w:tab/>
        <w:t xml:space="preserve">-</w:t>
        <w:tab/>
        <w:t xml:space="preserve">13,8 % </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Steiermark </w:t>
        <w:tab/>
        <w:t xml:space="preserve">-</w:t>
        <w:tab/>
        <w:t xml:space="preserve">14,9 % </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Tirol </w:t>
        <w:tab/>
        <w:t xml:space="preserve">-</w:t>
        <w:tab/>
        <w:t xml:space="preserve">15,8 % </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tabs>
          <w:tab w:val="center" w:leader="none" w:pos="2552"/>
          <w:tab w:val="left" w:leader="none" w:pos="7380"/>
        </w:tabs>
        <w:rPr>
          <w:color w:val="292c29"/>
          <w:sz w:val="16"/>
          <w:szCs w:val="16"/>
        </w:rPr>
      </w:pPr>
      <w:r w:rsidDel="00000000" w:rsidR="00000000" w:rsidRPr="00000000">
        <w:rPr>
          <w:color w:val="292c29"/>
          <w:sz w:val="16"/>
          <w:szCs w:val="16"/>
          <w:rtl w:val="0"/>
        </w:rPr>
        <w:t xml:space="preserve">Oberösterreich </w:t>
        <w:tab/>
        <w:t xml:space="preserve">-</w:t>
        <w:tab/>
        <w:t xml:space="preserve">16,3 % </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tabs>
          <w:tab w:val="center" w:leader="none" w:pos="2552"/>
        </w:tabs>
        <w:rPr>
          <w:color w:val="292c29"/>
          <w:sz w:val="20"/>
          <w:szCs w:val="20"/>
        </w:rPr>
      </w:pPr>
      <w:r w:rsidDel="00000000" w:rsidR="00000000" w:rsidRPr="00000000">
        <w:rPr>
          <w:color w:val="292c29"/>
          <w:sz w:val="16"/>
          <w:szCs w:val="16"/>
          <w:rtl w:val="0"/>
        </w:rPr>
        <w:t xml:space="preserve">Vorarlberg</w:t>
        <w:tab/>
        <w:t xml:space="preserve">-</w:t>
        <w:tab/>
        <w:tab/>
        <w:tab/>
        <w:tab/>
        <w:tab/>
        <w:tab/>
        <w:tab/>
        <w:t xml:space="preserve">    20,1 % </w:t>
      </w:r>
      <w:r w:rsidDel="00000000" w:rsidR="00000000" w:rsidRPr="00000000">
        <w:rPr>
          <w:rtl w:val="0"/>
        </w:rPr>
      </w:r>
    </w:p>
    <w:p w:rsidR="00000000" w:rsidDel="00000000" w:rsidP="00000000" w:rsidRDefault="00000000" w:rsidRPr="00000000" w14:paraId="0000004A">
      <w:pPr>
        <w:spacing w:after="280" w:before="280" w:lineRule="auto"/>
        <w:rPr>
          <w:sz w:val="16"/>
          <w:szCs w:val="16"/>
        </w:rPr>
      </w:pPr>
      <w:r w:rsidDel="00000000" w:rsidR="00000000" w:rsidRPr="00000000">
        <w:rPr>
          <w:b w:val="1"/>
          <w:bCs w:val="1"/>
          <w:color w:val="000000"/>
          <w:sz w:val="16"/>
          <w:szCs w:val="16"/>
          <w:rtl w:val="0"/>
        </w:rPr>
        <w:t xml:space="preserve">Link: </w:t>
      </w:r>
      <w:hyperlink r:id="rId11">
        <w:r w:rsidDel="00000000" w:rsidR="00000000" w:rsidRPr="00000000">
          <w:rPr>
            <w:b w:val="1"/>
            <w:bCs w:val="1"/>
            <w:color w:val="0000ff"/>
            <w:sz w:val="16"/>
            <w:szCs w:val="16"/>
            <w:u w:val="single"/>
            <w:rtl w:val="0"/>
          </w:rPr>
          <w:t xml:space="preserve">Statistik Austria &gt; Weiterführende Daten &gt; Brutto- und Nettojahreseinkommen der unselbständig Erwerbstätigen nach Bundesländern 2024</w:t>
        </w:r>
      </w:hyperlink>
      <w:r w:rsidDel="00000000" w:rsidR="00000000" w:rsidRPr="00000000">
        <w:rPr>
          <w:rtl w:val="0"/>
        </w:rPr>
      </w:r>
    </w:p>
    <w:p w:rsidR="00000000" w:rsidDel="00000000" w:rsidP="00000000" w:rsidRDefault="00000000" w:rsidRPr="00000000" w14:paraId="0000004B">
      <w:pPr>
        <w:ind w:right="0"/>
        <w:rPr/>
      </w:pPr>
      <w:r w:rsidDel="00000000" w:rsidR="00000000" w:rsidRPr="00000000">
        <w:br w:type="page"/>
      </w: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Equal Pay Day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Der Equal Pay Day (EPD), der internationale Aktionstag für </w:t>
      </w:r>
      <w:r w:rsidDel="00000000" w:rsidR="00000000" w:rsidRPr="00000000">
        <w:rPr>
          <w:rtl w:val="0"/>
        </w:rPr>
        <w:t xml:space="preserve">Entgeltgleichheit</w:t>
      </w:r>
      <w:r w:rsidDel="00000000" w:rsidR="00000000" w:rsidRPr="00000000">
        <w:rPr>
          <w:rtl w:val="0"/>
        </w:rPr>
        <w:t xml:space="preserve"> zwischen Frauen und Männern, macht auf den bestehenden Gender Pay Gap aufmerksam und wird in zahlreichen Ländern an unterschiedlichen Tagen begangen.</w:t>
      </w:r>
    </w:p>
    <w:p w:rsidR="00000000" w:rsidDel="00000000" w:rsidP="00000000" w:rsidRDefault="00000000" w:rsidRPr="00000000" w14:paraId="0000004F">
      <w:pPr>
        <w:rPr/>
      </w:pPr>
      <w:r w:rsidDel="00000000" w:rsidR="00000000" w:rsidRPr="00000000">
        <w:rPr>
          <w:rtl w:val="0"/>
        </w:rPr>
        <w:t xml:space="preserve">Der „Tag für gleiche Bezahlung“ hat seinen Ursprung in den USA. Der Equal Pay Day wurde dort 1966 vom „National Committee on Pay Equity“ (NCPE) ins Leben gerufen. Das NCPE ist ein Zusammenschluss von amerikanischen Frauen- und Bürgerrechtsorganisationen, von Gewerkschaften sowie religiösen und beruflichen Vereinigungen, der das Ziel hat, auf die ungleiche Bezahlung zwischen Männern und Frauen, insbesondere auch afroamerikanischen Frauen, hinzuweisen und die Lohnkluft zu beseitigen.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2008 wurde der Equal Pay Day in Deutschland eingeführt, erst 2011 hat die Europäische Kommission den Europäischen Equal Pay Day ins Leben gerufen, der seither jährlich begangen wird. </w:t>
      </w:r>
    </w:p>
    <w:p w:rsidR="00000000" w:rsidDel="00000000" w:rsidP="00000000" w:rsidRDefault="00000000" w:rsidRPr="00000000" w14:paraId="00000052">
      <w:pPr>
        <w:rPr/>
      </w:pPr>
      <w:r w:rsidDel="00000000" w:rsidR="00000000" w:rsidRPr="00000000">
        <w:rPr>
          <w:rtl w:val="0"/>
        </w:rPr>
        <w:t xml:space="preserve">Der Equal Pay Day findet mittlerweile in vielen europäischen Ländern statt: unter anderen beteiligen sich Belgien, Deutschland, Frankreich, Großbritannien, Irland, Italien, Niederlande, Österreich, Polen, Rumänien, Schweiz, Spanien, Schweden, Tschechien.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BPW Austria hat 2009 den Equal Pay Day für Österreich das erste Mal errechnet, seither wird er jährlich als Aktionstag begangen, um auf die Ungerechtigkeit in der Entlohnung aufmerksam zu machen und Bewusstsein dafür zu schaffen.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BPW</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right="-1530"/>
        <w:rPr/>
      </w:pPr>
      <w:r w:rsidDel="00000000" w:rsidR="00000000" w:rsidRPr="00000000">
        <w:rPr>
          <w:rtl w:val="0"/>
        </w:rPr>
        <w:t xml:space="preserve">Business and Professional Women BPW ist das größte internationale Netzwerk für berufstätige Frauen mit Mitgliedern in über 100 Nationen weltweit. Österreich war im Jahr 1930 als Gründungsmitglied in Genf maßgeblich beteiligt und vereint heute in BPW Austria österreichweit 10 Clubs mit 300 Frauen. In den regionalen Clubs engagieren sich berufstätige Frauen aller Branchen, Angestellte wie Selbständige, quer über alle Hierarchieebenen. Ziel ist die Entwicklung und Förderung des beruflichen Potenzials von Frauen sowie die Gleichstellung der Frauen im Beruf.</w:t>
      </w:r>
    </w:p>
    <w:p w:rsidR="00000000" w:rsidDel="00000000" w:rsidP="00000000" w:rsidRDefault="00000000" w:rsidRPr="00000000" w14:paraId="00000059">
      <w:pPr>
        <w:rPr/>
      </w:pPr>
      <w:r w:rsidDel="00000000" w:rsidR="00000000" w:rsidRPr="00000000">
        <w:rPr>
          <w:rtl w:val="0"/>
        </w:rPr>
        <w:t xml:space="preserve">Business and Professional Women BPW ist interkulturell, überparteilich und unabhängig.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Rückfragehinweis &amp; Interviewanfragen</w:t>
      </w:r>
    </w:p>
    <w:p w:rsidR="00000000" w:rsidDel="00000000" w:rsidP="00000000" w:rsidRDefault="00000000" w:rsidRPr="00000000" w14:paraId="0000005C">
      <w:pPr>
        <w:rPr/>
      </w:pPr>
      <w:r w:rsidDel="00000000" w:rsidR="00000000" w:rsidRPr="00000000">
        <w:rPr>
          <w:rtl w:val="0"/>
        </w:rPr>
        <w:t xml:space="preserve">BPW Austria – Business and Professional Women </w:t>
      </w:r>
    </w:p>
    <w:p w:rsidR="00000000" w:rsidDel="00000000" w:rsidP="00000000" w:rsidRDefault="00000000" w:rsidRPr="00000000" w14:paraId="0000005D">
      <w:pPr>
        <w:rPr/>
      </w:pPr>
      <w:r w:rsidDel="00000000" w:rsidR="00000000" w:rsidRPr="00000000">
        <w:rPr>
          <w:rtl w:val="0"/>
        </w:rPr>
        <w:t xml:space="preserve">Gesellschaft berufstätiger Frauen – Österreich</w:t>
      </w:r>
    </w:p>
    <w:p w:rsidR="00000000" w:rsidDel="00000000" w:rsidP="00000000" w:rsidRDefault="00000000" w:rsidRPr="00000000" w14:paraId="0000005E">
      <w:pPr>
        <w:rPr/>
      </w:pPr>
      <w:r w:rsidDel="00000000" w:rsidR="00000000" w:rsidRPr="00000000">
        <w:rPr>
          <w:rtl w:val="0"/>
        </w:rPr>
        <w:t xml:space="preserve">Universitätsring 14 – 1010 Wien</w:t>
      </w:r>
    </w:p>
    <w:p w:rsidR="00000000" w:rsidDel="00000000" w:rsidP="00000000" w:rsidRDefault="00000000" w:rsidRPr="00000000" w14:paraId="0000005F">
      <w:pPr>
        <w:rPr/>
      </w:pPr>
      <w:r w:rsidDel="00000000" w:rsidR="00000000" w:rsidRPr="00000000">
        <w:rPr>
          <w:rtl w:val="0"/>
        </w:rPr>
        <w:t xml:space="preserve">E-Mail: bpw.austria@bpw.at</w:t>
      </w:r>
    </w:p>
    <w:sectPr>
      <w:headerReference r:id="rId12" w:type="default"/>
      <w:footerReference r:id="rId13" w:type="default"/>
      <w:pgSz w:h="16838" w:w="11906" w:orient="portrait"/>
      <w:pgMar w:bottom="1849" w:top="2397" w:left="1417" w:right="38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36"/>
        <w:tab w:val="right" w:leader="none" w:pos="9072"/>
      </w:tabs>
      <w:rPr/>
    </w:pPr>
    <w:r w:rsidDel="00000000" w:rsidR="00000000" w:rsidRPr="00000000">
      <w:rPr>
        <w:rtl w:val="0"/>
      </w:rPr>
      <w:tab/>
    </w:r>
    <w:r w:rsidDel="00000000" w:rsidR="00000000" w:rsidRPr="00000000">
      <w:drawing>
        <wp:anchor allowOverlap="1" behindDoc="1" distB="0" distT="0" distL="0" distR="0" hidden="0" layoutInCell="1" locked="0" relativeHeight="0" simplePos="0">
          <wp:simplePos x="0" y="0"/>
          <wp:positionH relativeFrom="column">
            <wp:posOffset>-891322</wp:posOffset>
          </wp:positionH>
          <wp:positionV relativeFrom="paragraph">
            <wp:posOffset>-553079</wp:posOffset>
          </wp:positionV>
          <wp:extent cx="7570800" cy="1173600"/>
          <wp:effectExtent b="0" l="0" r="0" t="0"/>
          <wp:wrapNone/>
          <wp:docPr id="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0800" cy="1173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4243395</wp:posOffset>
          </wp:positionH>
          <wp:positionV relativeFrom="paragraph">
            <wp:posOffset>-180969</wp:posOffset>
          </wp:positionV>
          <wp:extent cx="2122241" cy="838819"/>
          <wp:effectExtent b="0" l="0" r="0" t="0"/>
          <wp:wrapNone/>
          <wp:docPr descr="Ein Bild, das Text, ClipArt enthält.&#10;&#10;Automatisch generierte Beschreibung" id="36" name="image5.jpg"/>
          <a:graphic>
            <a:graphicData uri="http://schemas.openxmlformats.org/drawingml/2006/picture">
              <pic:pic>
                <pic:nvPicPr>
                  <pic:cNvPr descr="Ein Bild, das Text, ClipArt enthält.&#10;&#10;Automatisch generierte Beschreibung" id="0" name="image5.jpg"/>
                  <pic:cNvPicPr preferRelativeResize="0"/>
                </pic:nvPicPr>
                <pic:blipFill>
                  <a:blip r:embed="rId1"/>
                  <a:srcRect b="0" l="0" r="0" t="0"/>
                  <a:stretch>
                    <a:fillRect/>
                  </a:stretch>
                </pic:blipFill>
                <pic:spPr>
                  <a:xfrm>
                    <a:off x="0" y="0"/>
                    <a:ext cx="2122241" cy="83881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-360037</wp:posOffset>
          </wp:positionH>
          <wp:positionV relativeFrom="paragraph">
            <wp:posOffset>-180333</wp:posOffset>
          </wp:positionV>
          <wp:extent cx="889200" cy="1051200"/>
          <wp:effectExtent b="0" l="0" r="0" t="0"/>
          <wp:wrapNone/>
          <wp:docPr descr="Ein Bild, das Text enthält.&#10;&#10;Automatisch generierte Beschreibung" id="34" name="image2.jpg"/>
          <a:graphic>
            <a:graphicData uri="http://schemas.openxmlformats.org/drawingml/2006/picture">
              <pic:pic>
                <pic:nvPicPr>
                  <pic:cNvPr descr="Ein Bild, das Text enthält.&#10;&#10;Automatisch generierte Beschreibung" id="0" name="image2.jpg"/>
                  <pic:cNvPicPr preferRelativeResize="0"/>
                </pic:nvPicPr>
                <pic:blipFill>
                  <a:blip r:embed="rId2"/>
                  <a:srcRect b="0" l="0" r="0" t="0"/>
                  <a:stretch>
                    <a:fillRect/>
                  </a:stretch>
                </pic:blipFill>
                <pic:spPr>
                  <a:xfrm>
                    <a:off x="0" y="0"/>
                    <a:ext cx="889200" cy="1051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sz w:val="24"/>
        <w:szCs w:val="24"/>
        <w:lang w:val="de-AT"/>
      </w:rPr>
    </w:rPrDefault>
    <w:pPrDefault>
      <w:pPr>
        <w:ind w:right="-153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i w:val="1"/>
      <w:iCs w:val="1"/>
      <w:sz w:val="28"/>
      <w:szCs w:val="28"/>
    </w:rPr>
  </w:style>
  <w:style w:type="paragraph" w:styleId="Heading2">
    <w:name w:val="heading 2"/>
    <w:basedOn w:val="Normal"/>
    <w:next w:val="Normal"/>
    <w:pPr>
      <w:keepNext w:val="1"/>
    </w:pPr>
    <w:rPr>
      <w:u w:val="singl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rPr>
      <w:b w:val="1"/>
      <w:bCs w:val="1"/>
      <w:sz w:val="32"/>
      <w:szCs w:val="3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berschrift1Zchn" w:customStyle="1">
    <w:name w:val="Überschrift 1 Zchn"/>
    <w:basedOn w:val="Absatz-Standardschriftart"/>
    <w:uiPriority w:val="99"/>
    <w:locked w:val="1"/>
    <w:rsid w:val="00B502B3"/>
    <w:rPr>
      <w:rFonts w:ascii="Cambria" w:cs="Cambria" w:hAnsi="Cambria"/>
      <w:b w:val="1"/>
      <w:bCs w:val="1"/>
      <w:kern w:val="32"/>
      <w:sz w:val="32"/>
      <w:szCs w:val="32"/>
      <w:lang w:eastAsia="de-DE"/>
    </w:rPr>
  </w:style>
  <w:style w:type="character" w:styleId="berschrift2Zchn" w:customStyle="1">
    <w:name w:val="Überschrift 2 Zchn"/>
    <w:basedOn w:val="Absatz-Standardschriftart"/>
    <w:uiPriority w:val="99"/>
    <w:semiHidden w:val="1"/>
    <w:locked w:val="1"/>
    <w:rsid w:val="00B502B3"/>
    <w:rPr>
      <w:rFonts w:ascii="Cambria" w:cs="Cambria" w:hAnsi="Cambria"/>
      <w:b w:val="1"/>
      <w:bCs w:val="1"/>
      <w:i w:val="1"/>
      <w:iCs w:val="1"/>
      <w:sz w:val="28"/>
      <w:szCs w:val="28"/>
      <w:lang w:eastAsia="de-DE"/>
    </w:rPr>
  </w:style>
  <w:style w:type="paragraph" w:styleId="Kopfzeile">
    <w:name w:val="header"/>
    <w:link w:val="KopfzeileZchn"/>
    <w:uiPriority w:val="99"/>
    <w:semiHidden w:val="1"/>
    <w:rsid w:val="00CA3214"/>
    <w:pPr>
      <w:tabs>
        <w:tab w:val="center" w:pos="4536"/>
        <w:tab w:val="right" w:pos="9072"/>
      </w:tabs>
    </w:pPr>
  </w:style>
  <w:style w:type="character" w:styleId="KopfzeileZchn" w:customStyle="1">
    <w:name w:val="Kopfzeile Zchn"/>
    <w:basedOn w:val="Absatz-Standardschriftart"/>
    <w:link w:val="Kopfzeile"/>
    <w:uiPriority w:val="99"/>
    <w:semiHidden w:val="1"/>
    <w:locked w:val="1"/>
    <w:rsid w:val="00CA3214"/>
    <w:rPr>
      <w:rFonts w:ascii="Trebuchet MS" w:cs="Trebuchet MS" w:hAnsi="Trebuchet MS"/>
      <w:sz w:val="24"/>
      <w:szCs w:val="24"/>
      <w:lang w:val="de-AT"/>
    </w:rPr>
  </w:style>
  <w:style w:type="paragraph" w:styleId="Fuzeile">
    <w:name w:val="footer"/>
    <w:link w:val="FuzeileZchn"/>
    <w:uiPriority w:val="99"/>
    <w:semiHidden w:val="1"/>
    <w:rsid w:val="00CA3214"/>
    <w:pPr>
      <w:tabs>
        <w:tab w:val="center" w:pos="4536"/>
        <w:tab w:val="right" w:pos="9072"/>
      </w:tabs>
    </w:pPr>
  </w:style>
  <w:style w:type="character" w:styleId="FuzeileZchn" w:customStyle="1">
    <w:name w:val="Fußzeile Zchn"/>
    <w:basedOn w:val="Absatz-Standardschriftart"/>
    <w:link w:val="Fuzeile"/>
    <w:uiPriority w:val="99"/>
    <w:semiHidden w:val="1"/>
    <w:locked w:val="1"/>
    <w:rsid w:val="00CA3214"/>
    <w:rPr>
      <w:rFonts w:ascii="Trebuchet MS" w:cs="Trebuchet MS" w:hAnsi="Trebuchet MS"/>
      <w:sz w:val="24"/>
      <w:szCs w:val="24"/>
      <w:lang w:val="de-AT"/>
    </w:rPr>
  </w:style>
  <w:style w:type="paragraph" w:styleId="Sprechblasentext">
    <w:name w:val="Balloon Text"/>
    <w:link w:val="SprechblasentextZchn"/>
    <w:uiPriority w:val="99"/>
    <w:semiHidden w:val="1"/>
    <w:rsid w:val="002C0356"/>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locked w:val="1"/>
    <w:rsid w:val="002C0356"/>
    <w:rPr>
      <w:rFonts w:ascii="Tahoma" w:cs="Tahoma" w:hAnsi="Tahoma"/>
      <w:sz w:val="16"/>
      <w:szCs w:val="16"/>
      <w:lang w:val="de-AT"/>
    </w:rPr>
  </w:style>
  <w:style w:type="character" w:styleId="TitelZchn" w:customStyle="1">
    <w:name w:val="Titel Zchn"/>
    <w:basedOn w:val="Absatz-Standardschriftart"/>
    <w:rsid w:val="00525B32"/>
    <w:rPr>
      <w:rFonts w:ascii="Arial Nova Cond" w:cs="Calibri" w:hAnsi="Arial Nova Cond"/>
      <w:b w:val="1"/>
      <w:bCs w:val="1"/>
      <w:iCs w:val="1"/>
      <w:color w:val="333333"/>
      <w:spacing w:val="20"/>
      <w:sz w:val="32"/>
      <w:szCs w:val="32"/>
      <w:lang w:eastAsia="de-DE"/>
    </w:rPr>
  </w:style>
  <w:style w:type="character" w:styleId="Hyperlink">
    <w:name w:val="Hyperlink"/>
    <w:basedOn w:val="Absatz-Standardschriftart"/>
    <w:uiPriority w:val="99"/>
    <w:rsid w:val="002F0ABC"/>
    <w:rPr>
      <w:rFonts w:cs="Times New Roman"/>
      <w:color w:val="0000ff"/>
      <w:u w:val="single"/>
    </w:rPr>
  </w:style>
  <w:style w:type="character" w:styleId="BesuchterLink">
    <w:name w:val="FollowedHyperlink"/>
    <w:basedOn w:val="Absatz-Standardschriftart"/>
    <w:uiPriority w:val="99"/>
    <w:semiHidden w:val="1"/>
    <w:unhideWhenUsed w:val="1"/>
    <w:rsid w:val="002F0ABC"/>
    <w:rPr>
      <w:color w:val="800080" w:themeColor="followedHyperlink"/>
      <w:u w:val="single"/>
    </w:rPr>
  </w:style>
  <w:style w:type="paragraph" w:styleId="StandardWeb">
    <w:name w:val="Normal (Web)"/>
    <w:uiPriority w:val="99"/>
    <w:semiHidden w:val="1"/>
    <w:unhideWhenUsed w:val="1"/>
    <w:rsid w:val="0016418D"/>
    <w:rPr>
      <w:rFonts w:ascii="Times New Roman" w:cs="Times New Roman" w:hAnsi="Times New Roman"/>
    </w:rPr>
  </w:style>
  <w:style w:type="paragraph" w:styleId="berarbeitung">
    <w:name w:val="Revision"/>
    <w:hidden w:val="1"/>
    <w:uiPriority w:val="99"/>
    <w:semiHidden w:val="1"/>
    <w:rsid w:val="008E0DE8"/>
    <w:pPr>
      <w:ind w:right="0"/>
    </w:pPr>
    <w:rPr>
      <w:rFonts w:cs="Calibri"/>
      <w:iCs w:val="1"/>
    </w:rPr>
  </w:style>
  <w:style w:type="paragraph" w:styleId="p1" w:customStyle="1">
    <w:name w:val="p1"/>
    <w:basedOn w:val="Standard"/>
    <w:rsid w:val="00B213A7"/>
    <w:pPr>
      <w:spacing w:after="100" w:afterAutospacing="1" w:before="100" w:beforeAutospacing="1"/>
      <w:ind w:right="0"/>
    </w:pPr>
    <w:rPr>
      <w:rFonts w:ascii="Times New Roman" w:cs="Times New Roman" w:eastAsia="Times New Roman" w:hAnsi="Times New Roman"/>
      <w:color w:val="auto"/>
    </w:rPr>
  </w:style>
  <w:style w:type="character" w:styleId="s1" w:customStyle="1">
    <w:name w:val="s1"/>
    <w:basedOn w:val="Absatz-Standardschriftart"/>
    <w:rsid w:val="00B213A7"/>
  </w:style>
  <w:style w:type="paragraph" w:styleId="p3" w:customStyle="1">
    <w:name w:val="p3"/>
    <w:basedOn w:val="Standard"/>
    <w:rsid w:val="00B213A7"/>
    <w:pPr>
      <w:spacing w:after="100" w:afterAutospacing="1" w:before="100" w:beforeAutospacing="1"/>
      <w:ind w:right="0"/>
    </w:pPr>
    <w:rPr>
      <w:rFonts w:ascii="Times New Roman" w:cs="Times New Roman" w:eastAsia="Times New Roman" w:hAnsi="Times New Roman"/>
      <w:color w:val="auto"/>
    </w:rPr>
  </w:style>
  <w:style w:type="character" w:styleId="s2" w:customStyle="1">
    <w:name w:val="s2"/>
    <w:basedOn w:val="Absatz-Standardschriftart"/>
    <w:rsid w:val="00B213A7"/>
  </w:style>
  <w:style w:type="paragraph" w:styleId="p4" w:customStyle="1">
    <w:name w:val="p4"/>
    <w:basedOn w:val="Standard"/>
    <w:rsid w:val="00B213A7"/>
    <w:pPr>
      <w:spacing w:after="100" w:afterAutospacing="1" w:before="100" w:beforeAutospacing="1"/>
      <w:ind w:right="0"/>
    </w:pPr>
    <w:rPr>
      <w:rFonts w:ascii="Times New Roman" w:cs="Times New Roman" w:eastAsia="Times New Roman" w:hAnsi="Times New Roman"/>
      <w:color w:val="auto"/>
    </w:rPr>
  </w:style>
  <w:style w:type="character" w:styleId="NichtaufgelsteErwhnung">
    <w:name w:val="Unresolved Mention"/>
    <w:basedOn w:val="Absatz-Standardschriftart"/>
    <w:uiPriority w:val="99"/>
    <w:semiHidden w:val="1"/>
    <w:unhideWhenUsed w:val="1"/>
    <w:rsid w:val="001A1153"/>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tatistik.at/statistiken/bevoelkerung-und-soziales/einkommen-und-soziale-lage/jaehrliche-personeneinkommen" TargetMode="External"/><Relationship Id="rId10" Type="http://schemas.openxmlformats.org/officeDocument/2006/relationships/image" Target="media/image4.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l-pay-day.at" TargetMode="External"/><Relationship Id="rId8" Type="http://schemas.openxmlformats.org/officeDocument/2006/relationships/hyperlink" Target="https://www.statistik.at/statistiken/bevoelkerung-und-soziales/einkommen-und-soziale-lage/jaehrliche-personeneinkom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3LPJo85ZeBKBg8Av0MGtAkKAQ==">CgMxLjA4AHIhMUgyVzNHQVlqN2FJeTNCaGRXdTY1Q3pTSGh5TDA2dWVj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2025-02-07T09:22:00Z</dcterms:created>
  <dc:creator>IR, UG, CP</dc:creator>
</cp:coreProperties>
</file>