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4A06" w14:textId="77777777" w:rsidR="00BC41C4" w:rsidRPr="00B75658" w:rsidRDefault="00BC41C4" w:rsidP="00525B32"/>
    <w:p w14:paraId="06D182B2" w14:textId="6BEF50B7" w:rsidR="00F1717C" w:rsidRPr="00525B32" w:rsidRDefault="00F1717C" w:rsidP="00525B32">
      <w:pPr>
        <w:pStyle w:val="Titel"/>
      </w:pPr>
      <w:r w:rsidRPr="00525B32">
        <w:t>MEDIENMITTEILUNG zum Equal Pay Day 2022</w:t>
      </w:r>
    </w:p>
    <w:p w14:paraId="02FF7498" w14:textId="77777777" w:rsidR="009A36F4" w:rsidRPr="00B75658" w:rsidRDefault="009A36F4" w:rsidP="00525B32"/>
    <w:p w14:paraId="365C5287" w14:textId="42DE79B1" w:rsidR="00BC41C4" w:rsidRPr="00B75658" w:rsidRDefault="009A36F4" w:rsidP="00525B32">
      <w:r w:rsidRPr="00B75658">
        <w:t>Wien</w:t>
      </w:r>
      <w:r w:rsidR="00F40EE3">
        <w:t xml:space="preserve"> – Februar 2022</w:t>
      </w:r>
      <w:r w:rsidR="00BC41C4" w:rsidRPr="00B75658">
        <w:tab/>
      </w:r>
    </w:p>
    <w:p w14:paraId="0ED6DC56" w14:textId="77777777" w:rsidR="00BC41C4" w:rsidRPr="00B75658" w:rsidRDefault="00BC41C4" w:rsidP="00525B32"/>
    <w:p w14:paraId="63CF9A2B" w14:textId="3EBA672E" w:rsidR="00BC41C4" w:rsidRPr="00E77CF2" w:rsidRDefault="00F40EE3" w:rsidP="00525B32">
      <w:pPr>
        <w:pStyle w:val="Titel"/>
      </w:pPr>
      <w:r w:rsidRPr="00E77CF2">
        <w:t>Gesunken, aber trotzdem kein Grund zur Freude</w:t>
      </w:r>
    </w:p>
    <w:p w14:paraId="2E5A560A" w14:textId="77777777" w:rsidR="00BC41C4" w:rsidRPr="009A36F4" w:rsidRDefault="00BC41C4" w:rsidP="00525B32"/>
    <w:p w14:paraId="5AA37F1E" w14:textId="2EA4C302" w:rsidR="00BC41C4" w:rsidRPr="00525B32" w:rsidRDefault="00F40EE3" w:rsidP="00525B32">
      <w:pPr>
        <w:rPr>
          <w:b/>
          <w:bCs/>
          <w:sz w:val="28"/>
          <w:szCs w:val="28"/>
        </w:rPr>
      </w:pPr>
      <w:r w:rsidRPr="00525B32">
        <w:rPr>
          <w:b/>
          <w:bCs/>
          <w:sz w:val="28"/>
          <w:szCs w:val="28"/>
        </w:rPr>
        <w:t>A</w:t>
      </w:r>
      <w:r w:rsidR="00E77CF2" w:rsidRPr="00525B32">
        <w:rPr>
          <w:b/>
          <w:bCs/>
          <w:sz w:val="28"/>
          <w:szCs w:val="28"/>
        </w:rPr>
        <w:t>uf</w:t>
      </w:r>
      <w:r w:rsidRPr="00525B32">
        <w:rPr>
          <w:b/>
          <w:bCs/>
          <w:sz w:val="28"/>
          <w:szCs w:val="28"/>
        </w:rPr>
        <w:t xml:space="preserve"> </w:t>
      </w:r>
      <w:r w:rsidR="00E77CF2" w:rsidRPr="00525B32">
        <w:rPr>
          <w:b/>
          <w:bCs/>
          <w:sz w:val="28"/>
          <w:szCs w:val="28"/>
        </w:rPr>
        <w:t xml:space="preserve">15. Februar fällt der Equal Pay Day 2022 – der Aktionstag, der die Einkommensungerechtigkeit in Österreich aufzeigt </w:t>
      </w:r>
    </w:p>
    <w:p w14:paraId="4D5098A9" w14:textId="07816468" w:rsidR="00BC41C4" w:rsidRPr="00E77CF2" w:rsidRDefault="00BC41C4" w:rsidP="00525B32"/>
    <w:p w14:paraId="6B0C2F0D" w14:textId="2D00BECE" w:rsidR="00E77CF2" w:rsidRPr="00525B32" w:rsidRDefault="00E77CF2" w:rsidP="00525B32">
      <w:pPr>
        <w:rPr>
          <w:b/>
          <w:bCs/>
        </w:rPr>
      </w:pPr>
      <w:r w:rsidRPr="00525B32">
        <w:rPr>
          <w:b/>
          <w:bCs/>
        </w:rPr>
        <w:t xml:space="preserve">Das internationale Frauennetzwerk BPW – Business and Professional Women – berechnet seit 2009 den Equal Pay Day für Österreich. Dieser Aktionstag fällt heuer auf den 15. Februar 2022. </w:t>
      </w:r>
      <w:r w:rsidR="005920E4" w:rsidRPr="00525B32">
        <w:rPr>
          <w:b/>
          <w:bCs/>
        </w:rPr>
        <w:t>Sechs trügerische Tage rückt der Aktionstag nach vorne. Wie kann das sein</w:t>
      </w:r>
      <w:r w:rsidR="00493D8F" w:rsidRPr="00525B32">
        <w:rPr>
          <w:b/>
          <w:bCs/>
        </w:rPr>
        <w:t>?</w:t>
      </w:r>
      <w:r w:rsidR="005920E4" w:rsidRPr="00525B32">
        <w:rPr>
          <w:b/>
          <w:bCs/>
        </w:rPr>
        <w:t xml:space="preserve"> </w:t>
      </w:r>
      <w:r w:rsidR="00493D8F" w:rsidRPr="00525B32">
        <w:rPr>
          <w:b/>
          <w:bCs/>
        </w:rPr>
        <w:t>D</w:t>
      </w:r>
      <w:r w:rsidRPr="00525B32">
        <w:rPr>
          <w:b/>
          <w:bCs/>
        </w:rPr>
        <w:t xml:space="preserve">ie Datengrundlage für die Berechnung ist </w:t>
      </w:r>
      <w:r w:rsidR="005920E4" w:rsidRPr="00525B32">
        <w:rPr>
          <w:b/>
          <w:bCs/>
        </w:rPr>
        <w:t>2020</w:t>
      </w:r>
      <w:r w:rsidRPr="00525B32">
        <w:rPr>
          <w:b/>
          <w:bCs/>
        </w:rPr>
        <w:t xml:space="preserve">, </w:t>
      </w:r>
      <w:r w:rsidR="005920E4" w:rsidRPr="00525B32">
        <w:rPr>
          <w:b/>
          <w:bCs/>
        </w:rPr>
        <w:t>das erste Jahr der</w:t>
      </w:r>
      <w:r w:rsidRPr="00525B32">
        <w:rPr>
          <w:b/>
          <w:bCs/>
        </w:rPr>
        <w:t xml:space="preserve"> Corona-Krise, die dramatische Auswirkungen auf </w:t>
      </w:r>
      <w:r w:rsidR="005920E4" w:rsidRPr="00525B32">
        <w:rPr>
          <w:b/>
          <w:bCs/>
        </w:rPr>
        <w:t xml:space="preserve">die Beschäftigung von </w:t>
      </w:r>
      <w:r w:rsidRPr="00525B32">
        <w:rPr>
          <w:b/>
          <w:bCs/>
        </w:rPr>
        <w:t xml:space="preserve">Frauen </w:t>
      </w:r>
      <w:r w:rsidR="005920E4" w:rsidRPr="00525B32">
        <w:rPr>
          <w:b/>
          <w:bCs/>
        </w:rPr>
        <w:t>zeigt</w:t>
      </w:r>
      <w:r w:rsidRPr="00525B32">
        <w:rPr>
          <w:b/>
          <w:bCs/>
        </w:rPr>
        <w:t>.</w:t>
      </w:r>
    </w:p>
    <w:p w14:paraId="27FD616A" w14:textId="77777777" w:rsidR="00BC41C4" w:rsidRPr="00E77CF2" w:rsidRDefault="00BC41C4" w:rsidP="00525B32"/>
    <w:p w14:paraId="0B433C90" w14:textId="3CEBDEFB" w:rsidR="00BC41C4" w:rsidRPr="00525B32" w:rsidRDefault="00E91BEB" w:rsidP="00525B32">
      <w:r w:rsidRPr="00525B32">
        <w:t>„Es ist der 16. März 2020, Angestellte übersiedeln ins Homeoffice, Schüler*innen werden zu Hause unterrichtet. Das Arbeitszimmer wird – um ungestört arbeiten zu können – vom Mann in Besitz genommen. Und die Frau?</w:t>
      </w:r>
      <w:r w:rsidR="005A1A3B" w:rsidRPr="00525B32">
        <w:t xml:space="preserve"> Ihr wird in vielen Fällen nahegelegt, ‚kürzer zu treten‘</w:t>
      </w:r>
      <w:r w:rsidR="0085080F" w:rsidRPr="00525B32">
        <w:t xml:space="preserve"> und</w:t>
      </w:r>
      <w:r w:rsidR="005A1A3B" w:rsidRPr="00525B32">
        <w:t xml:space="preserve"> ihr Arbeitspensum zu reduzieren</w:t>
      </w:r>
      <w:r w:rsidR="00525B32" w:rsidRPr="00525B32">
        <w:t>, um sich besser um ihre Kinder kümmern zu können</w:t>
      </w:r>
      <w:r w:rsidR="0085080F" w:rsidRPr="00525B32">
        <w:t>.</w:t>
      </w:r>
      <w:r w:rsidR="005A1A3B" w:rsidRPr="00525B32">
        <w:t xml:space="preserve">“ </w:t>
      </w:r>
      <w:r w:rsidR="0085080F" w:rsidRPr="00525B32">
        <w:t>M</w:t>
      </w:r>
      <w:r w:rsidR="005A1A3B" w:rsidRPr="00525B32">
        <w:t xml:space="preserve">it diesen Worten skizziert </w:t>
      </w:r>
      <w:r w:rsidR="00060E9F">
        <w:t xml:space="preserve">Mag. </w:t>
      </w:r>
      <w:r w:rsidR="005A1A3B" w:rsidRPr="00525B32">
        <w:t xml:space="preserve">Cornelia Pessenlehner, Präsidentin von BPW Austria, </w:t>
      </w:r>
      <w:r w:rsidR="0085080F" w:rsidRPr="00525B32">
        <w:t xml:space="preserve">die Situation der Frauen speziell im ersten Pandemiejahr. Dies führte unter anderem zu einer Verfälschung der Statistik in Bezug auf den Gender Pay Gap, der </w:t>
      </w:r>
      <w:r w:rsidR="00DA0491">
        <w:t xml:space="preserve">sich </w:t>
      </w:r>
      <w:r w:rsidR="0085080F" w:rsidRPr="00525B32">
        <w:t xml:space="preserve">auf 12,7% </w:t>
      </w:r>
      <w:r w:rsidR="00DA0491">
        <w:t>verringerte</w:t>
      </w:r>
      <w:r w:rsidR="0085080F" w:rsidRPr="00525B32">
        <w:t xml:space="preserve">. </w:t>
      </w:r>
    </w:p>
    <w:p w14:paraId="33154FD2" w14:textId="53A3E894" w:rsidR="0085080F" w:rsidRDefault="0085080F" w:rsidP="00525B32"/>
    <w:p w14:paraId="521E65EF" w14:textId="330DD0F3" w:rsidR="0085080F" w:rsidRPr="00525B32" w:rsidRDefault="00525B32" w:rsidP="00525B32">
      <w:pPr>
        <w:rPr>
          <w:b/>
          <w:bCs/>
        </w:rPr>
      </w:pPr>
      <w:r w:rsidRPr="00525B32">
        <w:rPr>
          <w:b/>
          <w:bCs/>
        </w:rPr>
        <w:t xml:space="preserve">Verfälschung? Zahlen </w:t>
      </w:r>
      <w:r w:rsidR="00EE6E0A">
        <w:rPr>
          <w:b/>
          <w:bCs/>
        </w:rPr>
        <w:t>sind doch unbestechlich</w:t>
      </w:r>
      <w:r w:rsidRPr="00525B32">
        <w:rPr>
          <w:b/>
          <w:bCs/>
        </w:rPr>
        <w:t>?</w:t>
      </w:r>
    </w:p>
    <w:p w14:paraId="2D771B6F" w14:textId="77777777" w:rsidR="00BC41C4" w:rsidRPr="00E77CF2" w:rsidRDefault="00BC41C4" w:rsidP="00525B32"/>
    <w:p w14:paraId="795BA21C" w14:textId="1B04FA55" w:rsidR="00EE6E0A" w:rsidRDefault="00EE6E0A" w:rsidP="00EE6E0A">
      <w:r>
        <w:t xml:space="preserve">Der Equal Pay Day Österreich ist um </w:t>
      </w:r>
      <w:r w:rsidR="00FB2141">
        <w:t>sechs</w:t>
      </w:r>
      <w:r>
        <w:t xml:space="preserve"> Tage nach vorne gerückt. </w:t>
      </w:r>
      <w:r w:rsidR="00FB2141">
        <w:t>Das ist – nach der Wirtschaftskrise 2008/2009 – schon die zweite Krise, die</w:t>
      </w:r>
      <w:r>
        <w:t xml:space="preserve"> einen vermeintlich positiven Einfluss auf den Equal Pay Day ha</w:t>
      </w:r>
      <w:r w:rsidR="00FB2141">
        <w:t>t. Warum das so ist, ist</w:t>
      </w:r>
      <w:r>
        <w:t xml:space="preserve"> für uns nicht schlüssig, auch die Auswirkung der Kurzarbeit auf die Statistik ist unklar.</w:t>
      </w:r>
      <w:r w:rsidR="003171E7">
        <w:t xml:space="preserve"> </w:t>
      </w:r>
    </w:p>
    <w:p w14:paraId="290456BD" w14:textId="26804B8E" w:rsidR="003171E7" w:rsidRDefault="003171E7" w:rsidP="00EE6E0A"/>
    <w:p w14:paraId="4D6430DD" w14:textId="383D3776" w:rsidR="00BC41C4" w:rsidRDefault="003171E7" w:rsidP="00EE6E0A">
      <w:r>
        <w:t xml:space="preserve">„Covid-19 hat zu strukturellen Veränderungen am Arbeitsmarkt geführt. Kurzarbeit, </w:t>
      </w:r>
      <w:r w:rsidR="00DB6543">
        <w:t>‚</w:t>
      </w:r>
      <w:r>
        <w:t>Home schooling</w:t>
      </w:r>
      <w:r w:rsidR="00DB6543">
        <w:t>‘</w:t>
      </w:r>
      <w:r>
        <w:t xml:space="preserve"> und andere Faktoren haben vor allem die Berufstätigkeit von Frauen belastet.“ führt Pessenlehner weiter aus. „</w:t>
      </w:r>
      <w:r w:rsidR="00EE6E0A">
        <w:t xml:space="preserve">Was wir bei aller </w:t>
      </w:r>
      <w:r>
        <w:t>‚</w:t>
      </w:r>
      <w:r w:rsidR="00EE6E0A">
        <w:t>Freude</w:t>
      </w:r>
      <w:r>
        <w:t>‘</w:t>
      </w:r>
      <w:r w:rsidR="00EE6E0A">
        <w:t xml:space="preserve"> nicht vergessen dürfen</w:t>
      </w:r>
      <w:r>
        <w:t xml:space="preserve">: </w:t>
      </w:r>
      <w:r w:rsidR="00EE6E0A">
        <w:t xml:space="preserve">der Equal Pay Day </w:t>
      </w:r>
      <w:r>
        <w:t xml:space="preserve">vergleicht </w:t>
      </w:r>
      <w:r w:rsidR="00EE6E0A">
        <w:t>nur Frauen und Männer in Vollbeschäftigung</w:t>
      </w:r>
      <w:r>
        <w:t xml:space="preserve">. </w:t>
      </w:r>
      <w:r w:rsidR="00EE6E0A">
        <w:t>Alle Frauen, die in Teilzeit arbeiten, durch die Krise noch weniger Stunden in Beschäftigung sind oder ihre Jobs verloren haben, sind hier nicht abgebildet.</w:t>
      </w:r>
      <w:r w:rsidR="00E81E2D">
        <w:t>“</w:t>
      </w:r>
      <w:r w:rsidR="00EE6E0A">
        <w:t xml:space="preserve"> Auch jene, die den Job reduziert oder ganz aufgegeben haben, um Familie mit </w:t>
      </w:r>
      <w:r>
        <w:t>‚</w:t>
      </w:r>
      <w:r w:rsidR="00EE6E0A">
        <w:t>Home schooling</w:t>
      </w:r>
      <w:r>
        <w:t>‘</w:t>
      </w:r>
      <w:r w:rsidR="00EE6E0A">
        <w:t xml:space="preserve"> zu managen, führen ein Schattendasein, insbesondere in dieser Statistik.</w:t>
      </w:r>
    </w:p>
    <w:p w14:paraId="42638C7F" w14:textId="77777777" w:rsidR="00EE6E0A" w:rsidRPr="00E77CF2" w:rsidRDefault="00EE6E0A" w:rsidP="00525B32"/>
    <w:p w14:paraId="07632E1E" w14:textId="5F545446" w:rsidR="00882E57" w:rsidRDefault="00882E57" w:rsidP="00525B32">
      <w:r w:rsidRPr="00882E57">
        <w:lastRenderedPageBreak/>
        <w:t xml:space="preserve">Aktuell beläuft sich der Gender Pay Gap auf </w:t>
      </w:r>
      <w:r>
        <w:t>12</w:t>
      </w:r>
      <w:r w:rsidRPr="00882E57">
        <w:t>,</w:t>
      </w:r>
      <w:r>
        <w:t>7</w:t>
      </w:r>
      <w:r w:rsidR="00060E9F">
        <w:t>%</w:t>
      </w:r>
      <w:r w:rsidRPr="00882E57">
        <w:t xml:space="preserve">, umgerechnet sind das </w:t>
      </w:r>
      <w:r>
        <w:t>46</w:t>
      </w:r>
      <w:r w:rsidRPr="00882E57">
        <w:t xml:space="preserve"> Kalendertage, die Frauen unbezahlt arbeiten – oder anders ausgedrückt, jedes </w:t>
      </w:r>
      <w:r>
        <w:t>8</w:t>
      </w:r>
      <w:r w:rsidRPr="00882E57">
        <w:t>. Jahr. In der Gesellschaft wird diese Ungerechtigkeit oft negiert oder auf die hohe Teilzeitquote von Frauen geschoben. Das stimmt so nicht. Die Lohnschere von 1</w:t>
      </w:r>
      <w:r w:rsidR="002E10D6">
        <w:t>2</w:t>
      </w:r>
      <w:r w:rsidRPr="00882E57">
        <w:t>,</w:t>
      </w:r>
      <w:r w:rsidR="002E10D6">
        <w:t>7</w:t>
      </w:r>
      <w:r w:rsidR="00060E9F">
        <w:t>%</w:t>
      </w:r>
      <w:r w:rsidRPr="00882E57">
        <w:t xml:space="preserve"> resultiert aus dem Vergleich von ganzjährig vollbeschäftigten Frauen und Männern aus den Bereichen Arbeiter*innen, Angestellte, Vertragsbedienstete und Beamt*innen, also ist Teilzeit kein Argument! Auch die unbezahlte Care</w:t>
      </w:r>
      <w:r w:rsidR="00060E9F">
        <w:t xml:space="preserve"> A</w:t>
      </w:r>
      <w:r w:rsidRPr="00882E57">
        <w:t>rbeit oder ehrenamtliche Tätigkeiten von Frauen fallen nicht ins Gewicht!</w:t>
      </w:r>
    </w:p>
    <w:p w14:paraId="60038934" w14:textId="77777777" w:rsidR="00882E57" w:rsidRDefault="00882E57" w:rsidP="00525B32"/>
    <w:p w14:paraId="23BF0918" w14:textId="2B328897" w:rsidR="002E10D6" w:rsidRPr="002E10D6" w:rsidRDefault="002E10D6" w:rsidP="00525B32">
      <w:pPr>
        <w:rPr>
          <w:b/>
          <w:bCs/>
        </w:rPr>
      </w:pPr>
      <w:r w:rsidRPr="002E10D6">
        <w:rPr>
          <w:b/>
          <w:bCs/>
        </w:rPr>
        <w:t>Mehr Transparenz ist gefordert</w:t>
      </w:r>
    </w:p>
    <w:p w14:paraId="4CAEC732" w14:textId="6D01BEA9" w:rsidR="002E10D6" w:rsidRDefault="002E10D6" w:rsidP="00525B32"/>
    <w:p w14:paraId="3F1C85F5" w14:textId="533DE9BB" w:rsidR="00A61A4C" w:rsidRDefault="00461025" w:rsidP="00525B32">
      <w:r w:rsidRPr="00461025">
        <w:t>Unternehmen, die dauerhaft mehr als 150 Mitarbeiter beschäftigen, stehen in der Pflicht, jährliche Einkommensberichte zu erstellen. Diese sorgen für Lohn-Transparenz zwischen den Mitarbeiter*innen. Klein- und Mittelbetriebe bleiben dabei außen vor, obwohl sie die größte Gruppe der Arbeitgeber sind. „Das muss von der Regierung nachgebessert werden, um die innerbetriebliche Entgelttransparenz flächendeckend herzustellen“, lautet die Forderung des Frauennetzwerks.</w:t>
      </w:r>
    </w:p>
    <w:p w14:paraId="3780620A" w14:textId="77777777" w:rsidR="001A40B6" w:rsidRDefault="001A40B6" w:rsidP="00525B32"/>
    <w:p w14:paraId="1F0D41D0" w14:textId="43B9E856" w:rsidR="00A61A4C" w:rsidRPr="00955B4D" w:rsidRDefault="00955B4D" w:rsidP="00525B32">
      <w:pPr>
        <w:rPr>
          <w:b/>
          <w:bCs/>
        </w:rPr>
      </w:pPr>
      <w:r w:rsidRPr="00955B4D">
        <w:rPr>
          <w:b/>
          <w:bCs/>
        </w:rPr>
        <w:t xml:space="preserve">Wohn- und Arbeitsort entscheiden über die Einkommensdifferenz </w:t>
      </w:r>
    </w:p>
    <w:p w14:paraId="2B7C83C2" w14:textId="77777777" w:rsidR="00A61A4C" w:rsidRDefault="00A61A4C" w:rsidP="00525B32"/>
    <w:p w14:paraId="6AFCDAC2" w14:textId="0F7A8B4C" w:rsidR="002E10D6" w:rsidRDefault="00955B4D" w:rsidP="00525B32">
      <w:r w:rsidRPr="00955B4D">
        <w:t>In Österreich besteht im europäischen Vergleich ein hohes geschlechtsspezifisches Lohngefälle zwischen Frauen und Männern, wir sind bei den Schlusslichtern zu finden. Die Zahlen der Statistik Austria lassen auch regionale Vergleiche im Bundesgebiet zu, denn entscheidend für die tatsächliche Höhe des Einkommensunterschieds ist das Bundesland. Während in Wien der Pay Gap mit 4,</w:t>
      </w:r>
      <w:r>
        <w:t>2</w:t>
      </w:r>
      <w:r w:rsidR="00060E9F">
        <w:t>%</w:t>
      </w:r>
      <w:r>
        <w:t xml:space="preserve"> </w:t>
      </w:r>
      <w:r w:rsidRPr="00955B4D">
        <w:t>verhältnismäßig klein ist, klafft in Vorarlberg eine Lücke von 2</w:t>
      </w:r>
      <w:r>
        <w:t>2</w:t>
      </w:r>
      <w:r w:rsidRPr="00955B4D">
        <w:t>,</w:t>
      </w:r>
      <w:r>
        <w:t>2</w:t>
      </w:r>
      <w:r w:rsidR="00060E9F">
        <w:t>%</w:t>
      </w:r>
      <w:r w:rsidRPr="00955B4D">
        <w:t>!</w:t>
      </w:r>
    </w:p>
    <w:p w14:paraId="4BBD9669" w14:textId="43401183" w:rsidR="00955B4D" w:rsidRDefault="00955B4D" w:rsidP="00525B32"/>
    <w:p w14:paraId="0BECA07D" w14:textId="2AC9057B" w:rsidR="00955B4D" w:rsidRPr="00955B4D" w:rsidRDefault="00955B4D" w:rsidP="00525B32">
      <w:pPr>
        <w:rPr>
          <w:b/>
          <w:bCs/>
        </w:rPr>
      </w:pPr>
      <w:r w:rsidRPr="00955B4D">
        <w:rPr>
          <w:b/>
          <w:bCs/>
        </w:rPr>
        <w:t>Das vergessene Problem: Weniger Einkommen – weniger Pension</w:t>
      </w:r>
    </w:p>
    <w:p w14:paraId="7CE41A6B" w14:textId="77777777" w:rsidR="00955B4D" w:rsidRDefault="00955B4D" w:rsidP="00525B32"/>
    <w:p w14:paraId="5AB4DF63" w14:textId="3C992076" w:rsidR="00DA0491" w:rsidRDefault="00DA0491" w:rsidP="00525B32">
      <w:r w:rsidRPr="00DA0491">
        <w:t xml:space="preserve">Die Einkommensdifferenz manifestiert sich vor allem in den Berufsgruppen der Angestellten mit </w:t>
      </w:r>
      <w:r>
        <w:t>29,9</w:t>
      </w:r>
      <w:r w:rsidR="00060E9F">
        <w:t xml:space="preserve">% </w:t>
      </w:r>
      <w:r w:rsidRPr="00DA0491">
        <w:t xml:space="preserve">und Arbeiter*innen mit </w:t>
      </w:r>
      <w:r>
        <w:t>26,9</w:t>
      </w:r>
      <w:r w:rsidR="00060E9F">
        <w:t>%</w:t>
      </w:r>
      <w:r w:rsidRPr="00DA0491">
        <w:t>. Das wirkt sich nicht nur auf den Kontostand und die Lebensqualität aus, sondern auch langfristig auf die Pension. Frauen leben zwar länger, die Frage ist</w:t>
      </w:r>
      <w:r>
        <w:t xml:space="preserve"> allerdings</w:t>
      </w:r>
      <w:r w:rsidRPr="00DA0491">
        <w:t xml:space="preserve"> wovon? Ohne ein finanzielles Vorsorgeprogramm führen die niedrigen Alterspensionen, die aktuell weniger als die Hälfte der Pensionen der Männer betragen, zwangsläufig in die Altersarmut. </w:t>
      </w:r>
    </w:p>
    <w:p w14:paraId="24B1DA2D" w14:textId="04EE8996" w:rsidR="00DA0491" w:rsidRDefault="00DA0491" w:rsidP="00525B32"/>
    <w:p w14:paraId="4E20F5BD" w14:textId="376F37DD" w:rsidR="00E81E2D" w:rsidRPr="00E81E2D" w:rsidRDefault="00E81E2D" w:rsidP="00525B32">
      <w:pPr>
        <w:rPr>
          <w:b/>
          <w:bCs/>
        </w:rPr>
      </w:pPr>
      <w:r w:rsidRPr="00E81E2D">
        <w:rPr>
          <w:b/>
          <w:bCs/>
        </w:rPr>
        <w:t>Auch beim Equal Pay Day 2022 gilt mehr als je zuvor: „Die Politik ist gefordert, Einkommenstransparenz zu schaffen und alle dafür nötigen Daten von Unternehmen einzufordern. Nur soll kann die Basis für gerechte Entlohnung geschaffen werden, die weder Frauen noch Männer diskriminiert!“</w:t>
      </w:r>
    </w:p>
    <w:p w14:paraId="20398937" w14:textId="1F8584FB" w:rsidR="00E81E2D" w:rsidRDefault="00E81E2D">
      <w:pPr>
        <w:ind w:right="0"/>
      </w:pPr>
      <w:r>
        <w:br w:type="page"/>
      </w:r>
    </w:p>
    <w:p w14:paraId="39DDB160" w14:textId="23F5FB60" w:rsidR="002F0ABC" w:rsidRPr="006D16F5" w:rsidRDefault="002F0ABC" w:rsidP="006D16F5"/>
    <w:p w14:paraId="08EA9123" w14:textId="77777777" w:rsidR="002F0ABC" w:rsidRPr="00694A42" w:rsidRDefault="002F0ABC" w:rsidP="002F0ABC">
      <w:pPr>
        <w:autoSpaceDE w:val="0"/>
        <w:autoSpaceDN w:val="0"/>
        <w:adjustRightInd w:val="0"/>
        <w:rPr>
          <w:rFonts w:ascii="Arial" w:hAnsi="Arial" w:cs="Arial"/>
          <w:b/>
          <w:color w:val="000000"/>
          <w:sz w:val="36"/>
          <w:szCs w:val="36"/>
        </w:rPr>
      </w:pPr>
      <w:r w:rsidRPr="00694A42">
        <w:rPr>
          <w:rFonts w:ascii="Arial" w:hAnsi="Arial" w:cs="Arial"/>
          <w:b/>
          <w:color w:val="000000"/>
          <w:sz w:val="36"/>
          <w:szCs w:val="36"/>
        </w:rPr>
        <w:t>Daten / Quellen:</w:t>
      </w:r>
    </w:p>
    <w:p w14:paraId="29CE965A" w14:textId="77777777" w:rsidR="002F0ABC" w:rsidRPr="001D68EB" w:rsidRDefault="002F0ABC" w:rsidP="002F0ABC">
      <w:pPr>
        <w:autoSpaceDE w:val="0"/>
        <w:autoSpaceDN w:val="0"/>
        <w:adjustRightInd w:val="0"/>
        <w:rPr>
          <w:rFonts w:ascii="Arial" w:hAnsi="Arial" w:cs="Arial"/>
          <w:color w:val="000000"/>
          <w:sz w:val="20"/>
          <w:szCs w:val="20"/>
        </w:rPr>
      </w:pPr>
    </w:p>
    <w:p w14:paraId="756ABBBB" w14:textId="34E76E38" w:rsidR="002F0ABC" w:rsidRPr="009E228E" w:rsidRDefault="002F0ABC" w:rsidP="0099102D">
      <w:pPr>
        <w:pBdr>
          <w:top w:val="single" w:sz="4" w:space="1" w:color="auto"/>
          <w:left w:val="single" w:sz="4" w:space="4" w:color="auto"/>
          <w:bottom w:val="single" w:sz="4" w:space="1" w:color="auto"/>
          <w:right w:val="single" w:sz="4" w:space="4" w:color="auto"/>
        </w:pBdr>
        <w:tabs>
          <w:tab w:val="center" w:pos="2552"/>
          <w:tab w:val="decimal" w:pos="2835"/>
        </w:tabs>
        <w:rPr>
          <w:rFonts w:ascii="Arial" w:hAnsi="Arial" w:cs="Arial"/>
          <w:color w:val="292C29"/>
          <w:sz w:val="20"/>
          <w:szCs w:val="20"/>
          <w:lang w:eastAsia="de-AT"/>
        </w:rPr>
      </w:pPr>
      <w:r w:rsidRPr="0032452D">
        <w:rPr>
          <w:rFonts w:ascii="Arial" w:hAnsi="Arial" w:cs="Arial"/>
          <w:b/>
          <w:i/>
          <w:color w:val="000000"/>
        </w:rPr>
        <w:t>Statistik – Grundlage des Equal Pay Day 202</w:t>
      </w:r>
      <w:r w:rsidR="0099102D">
        <w:rPr>
          <w:rFonts w:ascii="Arial" w:hAnsi="Arial" w:cs="Arial"/>
          <w:b/>
          <w:i/>
          <w:color w:val="000000"/>
        </w:rPr>
        <w:t>2</w:t>
      </w:r>
      <w:r w:rsidRPr="0032452D">
        <w:rPr>
          <w:rFonts w:ascii="Arial" w:hAnsi="Arial" w:cs="Arial"/>
          <w:b/>
          <w:i/>
          <w:color w:val="000000"/>
          <w:sz w:val="16"/>
          <w:szCs w:val="16"/>
        </w:rPr>
        <w:br/>
      </w:r>
      <w:r w:rsidRPr="0032452D">
        <w:rPr>
          <w:rFonts w:ascii="Arial" w:hAnsi="Arial" w:cs="Arial"/>
          <w:b/>
          <w:i/>
          <w:color w:val="000000"/>
          <w:sz w:val="16"/>
          <w:szCs w:val="16"/>
        </w:rPr>
        <w:br/>
      </w:r>
      <w:r w:rsidRPr="009829B5">
        <w:rPr>
          <w:rFonts w:ascii="Arial" w:hAnsi="Arial" w:cs="Arial"/>
          <w:color w:val="292C29"/>
          <w:sz w:val="16"/>
          <w:szCs w:val="16"/>
          <w:lang w:eastAsia="de-AT"/>
        </w:rPr>
        <w:t xml:space="preserve">Arbeiter*innen </w:t>
      </w:r>
      <w:r w:rsidRPr="009829B5">
        <w:rPr>
          <w:rFonts w:ascii="Arial" w:hAnsi="Arial" w:cs="Arial"/>
          <w:color w:val="292C29"/>
          <w:sz w:val="16"/>
          <w:szCs w:val="16"/>
          <w:lang w:eastAsia="de-AT"/>
        </w:rPr>
        <w:tab/>
        <w:t>-</w:t>
      </w:r>
      <w:r w:rsidR="0099102D">
        <w:rPr>
          <w:rFonts w:ascii="Arial" w:hAnsi="Arial" w:cs="Arial"/>
          <w:color w:val="292C29"/>
          <w:sz w:val="16"/>
          <w:szCs w:val="16"/>
          <w:lang w:eastAsia="de-AT"/>
        </w:rPr>
        <w:tab/>
        <w:t>26</w:t>
      </w:r>
      <w:r w:rsidRPr="009829B5">
        <w:rPr>
          <w:rFonts w:ascii="Arial" w:hAnsi="Arial" w:cs="Arial"/>
          <w:color w:val="292C29"/>
          <w:sz w:val="16"/>
          <w:szCs w:val="16"/>
          <w:lang w:eastAsia="de-AT"/>
        </w:rPr>
        <w:t>,</w:t>
      </w:r>
      <w:r w:rsidR="0099102D">
        <w:rPr>
          <w:rFonts w:ascii="Arial" w:hAnsi="Arial" w:cs="Arial"/>
          <w:color w:val="292C29"/>
          <w:sz w:val="16"/>
          <w:szCs w:val="16"/>
          <w:lang w:eastAsia="de-AT"/>
        </w:rPr>
        <w:t>9</w:t>
      </w:r>
      <w:r w:rsidRPr="009829B5">
        <w:rPr>
          <w:rFonts w:ascii="Arial" w:hAnsi="Arial" w:cs="Arial"/>
          <w:color w:val="292C29"/>
          <w:sz w:val="16"/>
          <w:szCs w:val="16"/>
          <w:lang w:eastAsia="de-AT"/>
        </w:rPr>
        <w:t xml:space="preserve"> %</w:t>
      </w:r>
      <w:r w:rsidRPr="009829B5">
        <w:rPr>
          <w:rFonts w:ascii="Arial" w:hAnsi="Arial" w:cs="Arial"/>
          <w:color w:val="292C29"/>
          <w:sz w:val="16"/>
          <w:szCs w:val="16"/>
          <w:lang w:eastAsia="de-AT"/>
        </w:rPr>
        <w:br/>
        <w:t xml:space="preserve">Angestellte </w:t>
      </w:r>
      <w:r w:rsidRPr="009829B5">
        <w:rPr>
          <w:rFonts w:ascii="Arial" w:hAnsi="Arial" w:cs="Arial"/>
          <w:color w:val="292C29"/>
          <w:sz w:val="16"/>
          <w:szCs w:val="16"/>
          <w:lang w:eastAsia="de-AT"/>
        </w:rPr>
        <w:tab/>
        <w:t>-</w:t>
      </w:r>
      <w:r w:rsidR="0099102D">
        <w:rPr>
          <w:rFonts w:ascii="Arial" w:hAnsi="Arial" w:cs="Arial"/>
          <w:color w:val="292C29"/>
          <w:sz w:val="16"/>
          <w:szCs w:val="16"/>
          <w:lang w:eastAsia="de-AT"/>
        </w:rPr>
        <w:tab/>
        <w:t>29,9</w:t>
      </w:r>
      <w:r w:rsidRPr="009829B5">
        <w:rPr>
          <w:rFonts w:ascii="Arial" w:hAnsi="Arial" w:cs="Arial"/>
          <w:color w:val="292C29"/>
          <w:sz w:val="16"/>
          <w:szCs w:val="16"/>
          <w:lang w:eastAsia="de-AT"/>
        </w:rPr>
        <w:t xml:space="preserve"> %</w:t>
      </w:r>
      <w:r w:rsidRPr="009829B5">
        <w:rPr>
          <w:rFonts w:ascii="Arial" w:hAnsi="Arial" w:cs="Arial"/>
          <w:color w:val="292C29"/>
          <w:sz w:val="16"/>
          <w:szCs w:val="16"/>
          <w:lang w:eastAsia="de-AT"/>
        </w:rPr>
        <w:br/>
        <w:t xml:space="preserve">Vertragsbedienstete </w:t>
      </w:r>
      <w:r w:rsidRPr="009829B5">
        <w:rPr>
          <w:rFonts w:ascii="Arial" w:hAnsi="Arial" w:cs="Arial"/>
          <w:color w:val="292C29"/>
          <w:sz w:val="16"/>
          <w:szCs w:val="16"/>
          <w:lang w:eastAsia="de-AT"/>
        </w:rPr>
        <w:tab/>
        <w:t>-</w:t>
      </w:r>
      <w:r w:rsidR="0099102D">
        <w:rPr>
          <w:rFonts w:ascii="Arial" w:hAnsi="Arial" w:cs="Arial"/>
          <w:color w:val="292C29"/>
          <w:sz w:val="16"/>
          <w:szCs w:val="16"/>
          <w:lang w:eastAsia="de-AT"/>
        </w:rPr>
        <w:tab/>
        <w:t>4</w:t>
      </w:r>
      <w:r w:rsidRPr="009829B5">
        <w:rPr>
          <w:rFonts w:ascii="Arial" w:hAnsi="Arial" w:cs="Arial"/>
          <w:color w:val="292C29"/>
          <w:sz w:val="16"/>
          <w:szCs w:val="16"/>
          <w:lang w:eastAsia="de-AT"/>
        </w:rPr>
        <w:t>,</w:t>
      </w:r>
      <w:r w:rsidR="0099102D">
        <w:rPr>
          <w:rFonts w:ascii="Arial" w:hAnsi="Arial" w:cs="Arial"/>
          <w:color w:val="292C29"/>
          <w:sz w:val="16"/>
          <w:szCs w:val="16"/>
          <w:lang w:eastAsia="de-AT"/>
        </w:rPr>
        <w:t>8</w:t>
      </w:r>
      <w:r w:rsidRPr="009829B5">
        <w:rPr>
          <w:rFonts w:ascii="Arial" w:hAnsi="Arial" w:cs="Arial"/>
          <w:color w:val="292C29"/>
          <w:sz w:val="16"/>
          <w:szCs w:val="16"/>
          <w:lang w:eastAsia="de-AT"/>
        </w:rPr>
        <w:t xml:space="preserve"> %</w:t>
      </w:r>
      <w:r w:rsidRPr="009829B5">
        <w:rPr>
          <w:rFonts w:ascii="Arial" w:hAnsi="Arial" w:cs="Arial"/>
          <w:color w:val="292C29"/>
          <w:sz w:val="16"/>
          <w:szCs w:val="16"/>
          <w:lang w:eastAsia="de-AT"/>
        </w:rPr>
        <w:br/>
      </w:r>
      <w:r w:rsidRPr="009829B5">
        <w:rPr>
          <w:rFonts w:ascii="Arial" w:hAnsi="Arial" w:cs="Arial"/>
          <w:color w:val="292C29"/>
          <w:sz w:val="16"/>
          <w:szCs w:val="16"/>
          <w:u w:val="single"/>
          <w:lang w:eastAsia="de-AT"/>
        </w:rPr>
        <w:t xml:space="preserve">Beamt*innen </w:t>
      </w:r>
      <w:r w:rsidRPr="009829B5">
        <w:rPr>
          <w:rFonts w:ascii="Arial" w:hAnsi="Arial" w:cs="Arial"/>
          <w:color w:val="292C29"/>
          <w:sz w:val="16"/>
          <w:szCs w:val="16"/>
          <w:u w:val="single"/>
          <w:lang w:eastAsia="de-AT"/>
        </w:rPr>
        <w:tab/>
        <w:t>+</w:t>
      </w:r>
      <w:r w:rsidR="0099102D">
        <w:rPr>
          <w:rFonts w:ascii="Arial" w:hAnsi="Arial" w:cs="Arial"/>
          <w:color w:val="292C29"/>
          <w:sz w:val="16"/>
          <w:szCs w:val="16"/>
          <w:u w:val="single"/>
          <w:lang w:eastAsia="de-AT"/>
        </w:rPr>
        <w:tab/>
        <w:t>5</w:t>
      </w:r>
      <w:r w:rsidRPr="009829B5">
        <w:rPr>
          <w:rFonts w:ascii="Arial" w:hAnsi="Arial" w:cs="Arial"/>
          <w:color w:val="292C29"/>
          <w:sz w:val="16"/>
          <w:szCs w:val="16"/>
          <w:u w:val="single"/>
          <w:lang w:eastAsia="de-AT"/>
        </w:rPr>
        <w:t>,</w:t>
      </w:r>
      <w:r w:rsidR="0099102D">
        <w:rPr>
          <w:rFonts w:ascii="Arial" w:hAnsi="Arial" w:cs="Arial"/>
          <w:color w:val="292C29"/>
          <w:sz w:val="16"/>
          <w:szCs w:val="16"/>
          <w:u w:val="single"/>
          <w:lang w:eastAsia="de-AT"/>
        </w:rPr>
        <w:t>7</w:t>
      </w:r>
      <w:r w:rsidRPr="009829B5">
        <w:rPr>
          <w:rFonts w:ascii="Arial" w:hAnsi="Arial" w:cs="Arial"/>
          <w:color w:val="292C29"/>
          <w:sz w:val="16"/>
          <w:szCs w:val="16"/>
          <w:u w:val="single"/>
          <w:lang w:eastAsia="de-AT"/>
        </w:rPr>
        <w:t xml:space="preserve"> %</w:t>
      </w:r>
      <w:r w:rsidRPr="009829B5">
        <w:rPr>
          <w:rFonts w:ascii="Arial" w:hAnsi="Arial" w:cs="Arial"/>
          <w:color w:val="292C29"/>
          <w:sz w:val="16"/>
          <w:szCs w:val="16"/>
          <w:lang w:eastAsia="de-AT"/>
        </w:rPr>
        <w:br/>
      </w:r>
      <w:r w:rsidRPr="009829B5">
        <w:rPr>
          <w:rFonts w:ascii="Arial" w:hAnsi="Arial" w:cs="Arial"/>
          <w:b/>
          <w:color w:val="292C29"/>
          <w:sz w:val="16"/>
          <w:szCs w:val="16"/>
          <w:lang w:eastAsia="de-AT"/>
        </w:rPr>
        <w:t>Summe</w:t>
      </w:r>
      <w:r w:rsidRPr="009829B5">
        <w:rPr>
          <w:rFonts w:ascii="Arial" w:hAnsi="Arial" w:cs="Arial"/>
          <w:b/>
          <w:color w:val="292C29"/>
          <w:sz w:val="16"/>
          <w:szCs w:val="16"/>
          <w:lang w:eastAsia="de-AT"/>
        </w:rPr>
        <w:tab/>
        <w:t>-</w:t>
      </w:r>
      <w:r w:rsidR="0099102D">
        <w:rPr>
          <w:rFonts w:ascii="Arial" w:hAnsi="Arial" w:cs="Arial"/>
          <w:b/>
          <w:color w:val="292C29"/>
          <w:sz w:val="16"/>
          <w:szCs w:val="16"/>
          <w:lang w:eastAsia="de-AT"/>
        </w:rPr>
        <w:tab/>
      </w:r>
      <w:r w:rsidRPr="009829B5">
        <w:rPr>
          <w:rFonts w:ascii="Arial" w:hAnsi="Arial" w:cs="Arial"/>
          <w:b/>
          <w:color w:val="292C29"/>
          <w:sz w:val="16"/>
          <w:szCs w:val="16"/>
          <w:lang w:eastAsia="de-AT"/>
        </w:rPr>
        <w:t>1</w:t>
      </w:r>
      <w:r w:rsidR="0099102D">
        <w:rPr>
          <w:rFonts w:ascii="Arial" w:hAnsi="Arial" w:cs="Arial"/>
          <w:b/>
          <w:color w:val="292C29"/>
          <w:sz w:val="16"/>
          <w:szCs w:val="16"/>
          <w:lang w:eastAsia="de-AT"/>
        </w:rPr>
        <w:t>2</w:t>
      </w:r>
      <w:r w:rsidRPr="009829B5">
        <w:rPr>
          <w:rFonts w:ascii="Arial" w:hAnsi="Arial" w:cs="Arial"/>
          <w:b/>
          <w:color w:val="292C29"/>
          <w:sz w:val="16"/>
          <w:szCs w:val="16"/>
          <w:lang w:eastAsia="de-AT"/>
        </w:rPr>
        <w:t>,</w:t>
      </w:r>
      <w:r w:rsidR="0099102D">
        <w:rPr>
          <w:rFonts w:ascii="Arial" w:hAnsi="Arial" w:cs="Arial"/>
          <w:b/>
          <w:color w:val="292C29"/>
          <w:sz w:val="16"/>
          <w:szCs w:val="16"/>
          <w:lang w:eastAsia="de-AT"/>
        </w:rPr>
        <w:t>7</w:t>
      </w:r>
      <w:r w:rsidRPr="009829B5">
        <w:rPr>
          <w:rFonts w:ascii="Arial" w:hAnsi="Arial" w:cs="Arial"/>
          <w:b/>
          <w:color w:val="292C29"/>
          <w:sz w:val="16"/>
          <w:szCs w:val="16"/>
          <w:lang w:eastAsia="de-AT"/>
        </w:rPr>
        <w:t xml:space="preserve"> %</w:t>
      </w:r>
      <w:r>
        <w:rPr>
          <w:rFonts w:ascii="Arial" w:hAnsi="Arial" w:cs="Arial"/>
          <w:b/>
          <w:color w:val="292C29"/>
          <w:sz w:val="16"/>
          <w:szCs w:val="16"/>
          <w:lang w:eastAsia="de-AT"/>
        </w:rPr>
        <w:t xml:space="preserve">  </w:t>
      </w:r>
    </w:p>
    <w:p w14:paraId="1AB0E840" w14:textId="7F7D4DE7" w:rsidR="002F0ABC" w:rsidRDefault="002F0ABC" w:rsidP="002F0ABC">
      <w:pPr>
        <w:spacing w:before="100" w:beforeAutospacing="1" w:after="100" w:afterAutospacing="1"/>
        <w:outlineLvl w:val="0"/>
        <w:rPr>
          <w:rFonts w:ascii="Arial" w:hAnsi="Arial" w:cs="Arial"/>
          <w:b/>
          <w:color w:val="000000"/>
          <w:sz w:val="16"/>
          <w:szCs w:val="16"/>
        </w:rPr>
      </w:pPr>
      <w:r w:rsidRPr="009E228E">
        <w:rPr>
          <w:rFonts w:ascii="Arial" w:hAnsi="Arial" w:cs="Arial"/>
          <w:b/>
          <w:color w:val="000000"/>
          <w:sz w:val="16"/>
          <w:szCs w:val="16"/>
        </w:rPr>
        <w:t>Link</w:t>
      </w:r>
      <w:r>
        <w:rPr>
          <w:rFonts w:ascii="Arial" w:hAnsi="Arial" w:cs="Arial"/>
          <w:b/>
          <w:color w:val="000000"/>
          <w:sz w:val="16"/>
          <w:szCs w:val="16"/>
        </w:rPr>
        <w:t xml:space="preserve">: </w:t>
      </w:r>
      <w:hyperlink r:id="rId7" w:history="1">
        <w:r>
          <w:rPr>
            <w:rStyle w:val="Hyperlink"/>
            <w:rFonts w:ascii="Arial" w:hAnsi="Arial" w:cs="Arial"/>
            <w:b/>
            <w:sz w:val="16"/>
            <w:szCs w:val="16"/>
          </w:rPr>
          <w:t>Statistik Austria &gt; Bruttojahreseinkommen von Frauen und Männern 2020</w:t>
        </w:r>
      </w:hyperlink>
    </w:p>
    <w:p w14:paraId="0FCAA7B5" w14:textId="77777777" w:rsidR="002F0ABC" w:rsidRDefault="002F0ABC" w:rsidP="002F0ABC">
      <w:pPr>
        <w:pBdr>
          <w:top w:val="single" w:sz="4" w:space="1" w:color="auto"/>
          <w:left w:val="single" w:sz="4" w:space="4" w:color="auto"/>
          <w:bottom w:val="single" w:sz="4" w:space="1" w:color="auto"/>
          <w:right w:val="single" w:sz="4" w:space="4" w:color="auto"/>
        </w:pBdr>
        <w:spacing w:before="100" w:beforeAutospacing="1" w:after="100" w:afterAutospacing="1"/>
        <w:outlineLvl w:val="0"/>
        <w:rPr>
          <w:rFonts w:ascii="Arial" w:hAnsi="Arial" w:cs="Arial"/>
          <w:b/>
          <w:i/>
          <w:iCs w:val="0"/>
          <w:color w:val="000000"/>
        </w:rPr>
      </w:pPr>
      <w:r w:rsidRPr="00733C80">
        <w:rPr>
          <w:rFonts w:ascii="Arial" w:hAnsi="Arial" w:cs="Arial"/>
          <w:b/>
          <w:i/>
          <w:color w:val="000000"/>
        </w:rPr>
        <w:t>Die Formel zur Berechnung des Equal Pay Day</w:t>
      </w:r>
    </w:p>
    <w:p w14:paraId="6C909707" w14:textId="72B8E719" w:rsidR="002F0ABC" w:rsidRPr="00436994" w:rsidRDefault="002F0ABC" w:rsidP="002F0ABC">
      <w:pPr>
        <w:pBdr>
          <w:top w:val="single" w:sz="4" w:space="1" w:color="auto"/>
          <w:left w:val="single" w:sz="4" w:space="4" w:color="auto"/>
          <w:bottom w:val="single" w:sz="4" w:space="1" w:color="auto"/>
          <w:right w:val="single" w:sz="4" w:space="4" w:color="auto"/>
        </w:pBdr>
        <w:spacing w:before="100" w:beforeAutospacing="1" w:after="100" w:afterAutospacing="1"/>
        <w:outlineLvl w:val="0"/>
        <w:rPr>
          <w:rFonts w:ascii="Arial" w:hAnsi="Arial" w:cs="Arial"/>
          <w:bCs/>
          <w:color w:val="000000"/>
          <w:sz w:val="16"/>
          <w:szCs w:val="16"/>
        </w:rPr>
      </w:pPr>
      <w:r>
        <w:rPr>
          <w:rFonts w:ascii="Arial" w:hAnsi="Arial" w:cs="Arial"/>
          <w:bCs/>
          <w:color w:val="000000"/>
          <w:sz w:val="16"/>
          <w:szCs w:val="16"/>
        </w:rPr>
        <w:t>D</w:t>
      </w:r>
      <w:r w:rsidRPr="00436994">
        <w:rPr>
          <w:rFonts w:ascii="Arial" w:hAnsi="Arial" w:cs="Arial"/>
          <w:bCs/>
          <w:color w:val="000000"/>
          <w:sz w:val="16"/>
          <w:szCs w:val="16"/>
        </w:rPr>
        <w:t xml:space="preserve">er Equal Pay Day </w:t>
      </w:r>
      <w:r w:rsidR="00060E9F">
        <w:rPr>
          <w:rFonts w:ascii="Arial" w:hAnsi="Arial" w:cs="Arial"/>
          <w:bCs/>
          <w:color w:val="000000"/>
          <w:sz w:val="16"/>
          <w:szCs w:val="16"/>
        </w:rPr>
        <w:t xml:space="preserve">ist </w:t>
      </w:r>
      <w:r>
        <w:rPr>
          <w:rFonts w:ascii="Arial" w:hAnsi="Arial" w:cs="Arial"/>
          <w:bCs/>
          <w:color w:val="000000"/>
          <w:sz w:val="16"/>
          <w:szCs w:val="16"/>
        </w:rPr>
        <w:t xml:space="preserve">zwar </w:t>
      </w:r>
      <w:r w:rsidRPr="00436994">
        <w:rPr>
          <w:rFonts w:ascii="Arial" w:hAnsi="Arial" w:cs="Arial"/>
          <w:bCs/>
          <w:color w:val="000000"/>
          <w:sz w:val="16"/>
          <w:szCs w:val="16"/>
        </w:rPr>
        <w:t xml:space="preserve">ein symbolischer Aktionstag, hinter dem </w:t>
      </w:r>
      <w:r>
        <w:rPr>
          <w:rFonts w:ascii="Arial" w:hAnsi="Arial" w:cs="Arial"/>
          <w:bCs/>
          <w:color w:val="000000"/>
          <w:sz w:val="16"/>
          <w:szCs w:val="16"/>
        </w:rPr>
        <w:t xml:space="preserve">jedoch </w:t>
      </w:r>
      <w:r w:rsidRPr="00436994">
        <w:rPr>
          <w:rFonts w:ascii="Arial" w:hAnsi="Arial" w:cs="Arial"/>
          <w:bCs/>
          <w:color w:val="000000"/>
          <w:sz w:val="16"/>
          <w:szCs w:val="16"/>
        </w:rPr>
        <w:t xml:space="preserve">statistische Zahlen stehen. </w:t>
      </w:r>
      <w:r>
        <w:rPr>
          <w:rFonts w:ascii="Arial" w:hAnsi="Arial" w:cs="Arial"/>
          <w:bCs/>
          <w:color w:val="000000"/>
          <w:sz w:val="16"/>
          <w:szCs w:val="16"/>
        </w:rPr>
        <w:br/>
      </w:r>
      <w:r w:rsidRPr="00436994">
        <w:rPr>
          <w:rFonts w:ascii="Arial" w:hAnsi="Arial" w:cs="Arial"/>
          <w:bCs/>
          <w:color w:val="000000"/>
          <w:sz w:val="16"/>
          <w:szCs w:val="16"/>
        </w:rPr>
        <w:t>Die Formel für die Berechnung ist denkbar einfach und kann auf jedem Bierdeckel nachgerechnet werden.</w:t>
      </w:r>
    </w:p>
    <w:p w14:paraId="01FEE44D" w14:textId="28161ADA" w:rsidR="002F0ABC" w:rsidRDefault="00790E19" w:rsidP="002F0ABC">
      <w:pPr>
        <w:pBdr>
          <w:top w:val="single" w:sz="4" w:space="1" w:color="auto"/>
          <w:left w:val="single" w:sz="4" w:space="4" w:color="auto"/>
          <w:bottom w:val="single" w:sz="4" w:space="1" w:color="auto"/>
          <w:right w:val="single" w:sz="4" w:space="4" w:color="auto"/>
        </w:pBdr>
        <w:spacing w:before="100" w:beforeAutospacing="1" w:after="100" w:afterAutospacing="1"/>
        <w:outlineLvl w:val="0"/>
        <w:rPr>
          <w:rFonts w:ascii="Arial" w:hAnsi="Arial" w:cs="Arial"/>
          <w:b/>
          <w:color w:val="000000"/>
          <w:sz w:val="16"/>
          <w:szCs w:val="16"/>
        </w:rPr>
      </w:pPr>
      <w:r w:rsidRPr="00790E19">
        <w:rPr>
          <w:rFonts w:ascii="Arial" w:hAnsi="Arial" w:cs="Arial"/>
          <w:noProof/>
          <w:color w:val="292C29"/>
          <w:sz w:val="16"/>
          <w:szCs w:val="16"/>
          <w:lang w:eastAsia="de-AT"/>
        </w:rPr>
        <w:drawing>
          <wp:inline distT="0" distB="0" distL="0" distR="0" wp14:anchorId="6345ACEA" wp14:editId="5F84E681">
            <wp:extent cx="4878000" cy="763200"/>
            <wp:effectExtent l="0" t="0" r="0" b="0"/>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a:blip r:embed="rId8" cstate="email">
                      <a:extLst>
                        <a:ext uri="{28A0092B-C50C-407E-A947-70E740481C1C}">
                          <a14:useLocalDpi xmlns:a14="http://schemas.microsoft.com/office/drawing/2010/main"/>
                        </a:ext>
                      </a:extLst>
                    </a:blip>
                    <a:stretch>
                      <a:fillRect/>
                    </a:stretch>
                  </pic:blipFill>
                  <pic:spPr>
                    <a:xfrm>
                      <a:off x="0" y="0"/>
                      <a:ext cx="4878000" cy="763200"/>
                    </a:xfrm>
                    <a:prstGeom prst="rect">
                      <a:avLst/>
                    </a:prstGeom>
                  </pic:spPr>
                </pic:pic>
              </a:graphicData>
            </a:graphic>
          </wp:inline>
        </w:drawing>
      </w:r>
    </w:p>
    <w:p w14:paraId="2A892216" w14:textId="7309670E" w:rsidR="002F0ABC" w:rsidRDefault="002F0ABC" w:rsidP="002F0ABC">
      <w:pPr>
        <w:pBdr>
          <w:top w:val="single" w:sz="4" w:space="1" w:color="auto"/>
          <w:left w:val="single" w:sz="4" w:space="4" w:color="auto"/>
          <w:bottom w:val="single" w:sz="4" w:space="1" w:color="auto"/>
          <w:right w:val="single" w:sz="4" w:space="4" w:color="auto"/>
        </w:pBdr>
        <w:spacing w:before="100" w:beforeAutospacing="1" w:after="100" w:afterAutospacing="1"/>
        <w:outlineLvl w:val="0"/>
        <w:rPr>
          <w:rFonts w:ascii="Arial" w:hAnsi="Arial" w:cs="Arial"/>
          <w:b/>
          <w:color w:val="000000"/>
          <w:sz w:val="16"/>
          <w:szCs w:val="16"/>
        </w:rPr>
      </w:pPr>
      <w:r>
        <w:rPr>
          <w:rFonts w:ascii="Arial" w:hAnsi="Arial" w:cs="Arial"/>
          <w:color w:val="292C29"/>
          <w:sz w:val="16"/>
          <w:szCs w:val="16"/>
          <w:lang w:eastAsia="de-AT"/>
        </w:rPr>
        <w:t>1</w:t>
      </w:r>
      <w:r w:rsidR="0099102D">
        <w:rPr>
          <w:rFonts w:ascii="Arial" w:hAnsi="Arial" w:cs="Arial"/>
          <w:color w:val="292C29"/>
          <w:sz w:val="16"/>
          <w:szCs w:val="16"/>
          <w:lang w:eastAsia="de-AT"/>
        </w:rPr>
        <w:t>2</w:t>
      </w:r>
      <w:r w:rsidRPr="009829B5">
        <w:rPr>
          <w:rFonts w:ascii="Arial" w:hAnsi="Arial" w:cs="Arial"/>
          <w:color w:val="292C29"/>
          <w:sz w:val="16"/>
          <w:szCs w:val="16"/>
          <w:lang w:eastAsia="de-AT"/>
        </w:rPr>
        <w:t>,</w:t>
      </w:r>
      <w:r w:rsidR="0099102D">
        <w:rPr>
          <w:rFonts w:ascii="Arial" w:hAnsi="Arial" w:cs="Arial"/>
          <w:color w:val="292C29"/>
          <w:sz w:val="16"/>
          <w:szCs w:val="16"/>
          <w:lang w:eastAsia="de-AT"/>
        </w:rPr>
        <w:t>7</w:t>
      </w:r>
      <w:r w:rsidRPr="009829B5">
        <w:rPr>
          <w:rFonts w:ascii="Arial" w:hAnsi="Arial" w:cs="Arial"/>
          <w:color w:val="292C29"/>
          <w:sz w:val="16"/>
          <w:szCs w:val="16"/>
          <w:lang w:eastAsia="de-AT"/>
        </w:rPr>
        <w:t xml:space="preserve"> % Unterschied ergeben </w:t>
      </w:r>
      <w:r w:rsidR="0099102D">
        <w:rPr>
          <w:rFonts w:ascii="Arial" w:hAnsi="Arial" w:cs="Arial"/>
          <w:color w:val="292C29"/>
          <w:sz w:val="16"/>
          <w:szCs w:val="16"/>
          <w:lang w:eastAsia="de-AT"/>
        </w:rPr>
        <w:t>46</w:t>
      </w:r>
      <w:r w:rsidRPr="009829B5">
        <w:rPr>
          <w:rFonts w:ascii="Arial" w:hAnsi="Arial" w:cs="Arial"/>
          <w:color w:val="292C29"/>
          <w:sz w:val="16"/>
          <w:szCs w:val="16"/>
          <w:lang w:eastAsia="de-AT"/>
        </w:rPr>
        <w:t xml:space="preserve"> Tage, daher fällt der EPD 202</w:t>
      </w:r>
      <w:r w:rsidR="0099102D">
        <w:rPr>
          <w:rFonts w:ascii="Arial" w:hAnsi="Arial" w:cs="Arial"/>
          <w:color w:val="292C29"/>
          <w:sz w:val="16"/>
          <w:szCs w:val="16"/>
          <w:lang w:eastAsia="de-AT"/>
        </w:rPr>
        <w:t>2</w:t>
      </w:r>
      <w:r w:rsidRPr="009829B5">
        <w:rPr>
          <w:rFonts w:ascii="Arial" w:hAnsi="Arial" w:cs="Arial"/>
          <w:color w:val="292C29"/>
          <w:sz w:val="16"/>
          <w:szCs w:val="16"/>
          <w:lang w:eastAsia="de-AT"/>
        </w:rPr>
        <w:t xml:space="preserve"> auf den </w:t>
      </w:r>
      <w:r w:rsidR="0099102D">
        <w:rPr>
          <w:rFonts w:ascii="Arial" w:hAnsi="Arial" w:cs="Arial"/>
          <w:color w:val="292C29"/>
          <w:sz w:val="16"/>
          <w:szCs w:val="16"/>
          <w:lang w:eastAsia="de-AT"/>
        </w:rPr>
        <w:t>15</w:t>
      </w:r>
      <w:r w:rsidRPr="009829B5">
        <w:rPr>
          <w:rFonts w:ascii="Arial" w:hAnsi="Arial" w:cs="Arial"/>
          <w:color w:val="292C29"/>
          <w:sz w:val="16"/>
          <w:szCs w:val="16"/>
          <w:lang w:eastAsia="de-AT"/>
        </w:rPr>
        <w:t>. Februar</w:t>
      </w:r>
    </w:p>
    <w:p w14:paraId="69ED5DBD" w14:textId="1140A1D6" w:rsidR="002F0ABC" w:rsidRDefault="00060E9F" w:rsidP="002F0ABC">
      <w:pPr>
        <w:pBdr>
          <w:top w:val="single" w:sz="4" w:space="1" w:color="auto"/>
          <w:left w:val="single" w:sz="4" w:space="4" w:color="auto"/>
          <w:bottom w:val="single" w:sz="4" w:space="1" w:color="auto"/>
          <w:right w:val="single" w:sz="4" w:space="4" w:color="auto"/>
        </w:pBdr>
        <w:spacing w:before="100" w:beforeAutospacing="1" w:after="100" w:afterAutospacing="1"/>
        <w:outlineLvl w:val="0"/>
        <w:rPr>
          <w:rFonts w:ascii="Arial" w:hAnsi="Arial" w:cs="Arial"/>
          <w:b/>
          <w:color w:val="000000"/>
          <w:sz w:val="16"/>
          <w:szCs w:val="16"/>
        </w:rPr>
      </w:pPr>
      <w:r w:rsidRPr="00060E9F">
        <w:rPr>
          <w:rFonts w:ascii="Arial" w:hAnsi="Arial" w:cs="Arial"/>
          <w:noProof/>
          <w:color w:val="292C29"/>
          <w:sz w:val="16"/>
          <w:szCs w:val="16"/>
          <w:lang w:eastAsia="de-AT"/>
        </w:rPr>
        <w:drawing>
          <wp:inline distT="0" distB="0" distL="0" distR="0" wp14:anchorId="5F5A5F94" wp14:editId="088BD415">
            <wp:extent cx="4870800" cy="7632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4870800" cy="763200"/>
                    </a:xfrm>
                    <a:prstGeom prst="rect">
                      <a:avLst/>
                    </a:prstGeom>
                  </pic:spPr>
                </pic:pic>
              </a:graphicData>
            </a:graphic>
          </wp:inline>
        </w:drawing>
      </w:r>
    </w:p>
    <w:p w14:paraId="523211E5" w14:textId="77777777" w:rsidR="002F0ABC" w:rsidRPr="009E228E" w:rsidRDefault="002F0ABC" w:rsidP="002F0ABC">
      <w:pPr>
        <w:spacing w:before="100" w:beforeAutospacing="1" w:after="100" w:afterAutospacing="1"/>
        <w:outlineLvl w:val="0"/>
        <w:rPr>
          <w:rFonts w:ascii="Arial" w:hAnsi="Arial" w:cs="Arial"/>
          <w:b/>
          <w:color w:val="000000"/>
          <w:sz w:val="16"/>
          <w:szCs w:val="16"/>
        </w:rPr>
      </w:pPr>
    </w:p>
    <w:p w14:paraId="65E57028" w14:textId="0536DE81" w:rsidR="002F0ABC" w:rsidRPr="009829B5" w:rsidRDefault="002F0ABC" w:rsidP="004C06DA">
      <w:pPr>
        <w:pBdr>
          <w:top w:val="single" w:sz="4" w:space="1" w:color="auto"/>
          <w:left w:val="single" w:sz="4" w:space="4" w:color="auto"/>
          <w:bottom w:val="single" w:sz="4" w:space="1" w:color="auto"/>
          <w:right w:val="single" w:sz="4" w:space="4" w:color="auto"/>
        </w:pBdr>
        <w:tabs>
          <w:tab w:val="center" w:pos="2552"/>
          <w:tab w:val="decimal" w:pos="2835"/>
          <w:tab w:val="left" w:pos="7380"/>
        </w:tabs>
        <w:autoSpaceDE w:val="0"/>
        <w:autoSpaceDN w:val="0"/>
        <w:adjustRightInd w:val="0"/>
        <w:rPr>
          <w:rFonts w:ascii="ArialMT" w:hAnsi="ArialMT" w:cs="ArialMT"/>
          <w:color w:val="292C29"/>
          <w:sz w:val="16"/>
          <w:szCs w:val="16"/>
          <w:lang w:eastAsia="de-AT"/>
        </w:rPr>
      </w:pPr>
      <w:r w:rsidRPr="005325BF">
        <w:rPr>
          <w:rFonts w:ascii="Arial" w:hAnsi="Arial" w:cs="Arial"/>
          <w:b/>
          <w:i/>
          <w:color w:val="292C29"/>
          <w:lang w:eastAsia="de-AT"/>
        </w:rPr>
        <w:t>Regionale Unterschiede</w:t>
      </w:r>
      <w:r>
        <w:rPr>
          <w:rFonts w:ascii="Arial" w:hAnsi="Arial" w:cs="Arial"/>
          <w:b/>
          <w:i/>
          <w:color w:val="292C29"/>
          <w:lang w:eastAsia="de-AT"/>
        </w:rPr>
        <w:t xml:space="preserve"> : GPG nach Bundesländern</w:t>
      </w:r>
      <w:r>
        <w:rPr>
          <w:rFonts w:ascii="Arial" w:hAnsi="Arial" w:cs="Arial"/>
          <w:color w:val="292C29"/>
          <w:sz w:val="20"/>
          <w:szCs w:val="20"/>
          <w:lang w:eastAsia="de-AT"/>
        </w:rPr>
        <w:br/>
      </w:r>
      <w:r>
        <w:rPr>
          <w:rFonts w:ascii="Arial" w:hAnsi="Arial" w:cs="Arial"/>
          <w:color w:val="292C29"/>
          <w:sz w:val="20"/>
          <w:szCs w:val="20"/>
          <w:lang w:eastAsia="de-AT"/>
        </w:rPr>
        <w:br/>
      </w:r>
      <w:r w:rsidRPr="009829B5">
        <w:rPr>
          <w:rFonts w:ascii="ArialMT" w:hAnsi="ArialMT" w:cs="ArialMT"/>
          <w:color w:val="292C29"/>
          <w:sz w:val="16"/>
          <w:szCs w:val="16"/>
          <w:lang w:eastAsia="de-AT"/>
        </w:rPr>
        <w:t>Wien</w:t>
      </w:r>
      <w:r>
        <w:rPr>
          <w:rFonts w:ascii="ArialMT" w:hAnsi="ArialMT" w:cs="ArialMT"/>
          <w:color w:val="292C29"/>
          <w:sz w:val="16"/>
          <w:szCs w:val="16"/>
          <w:lang w:eastAsia="de-AT"/>
        </w:rPr>
        <w:tab/>
      </w:r>
      <w:r w:rsidRPr="009829B5">
        <w:rPr>
          <w:rFonts w:ascii="ArialMT" w:hAnsi="ArialMT" w:cs="ArialMT"/>
          <w:color w:val="292C29"/>
          <w:sz w:val="16"/>
          <w:szCs w:val="16"/>
          <w:lang w:eastAsia="de-AT"/>
        </w:rPr>
        <w:t>-</w:t>
      </w:r>
      <w:r w:rsidR="004C06DA">
        <w:rPr>
          <w:rFonts w:ascii="ArialMT" w:hAnsi="ArialMT" w:cs="ArialMT"/>
          <w:color w:val="292C29"/>
          <w:sz w:val="16"/>
          <w:szCs w:val="16"/>
          <w:lang w:eastAsia="de-AT"/>
        </w:rPr>
        <w:tab/>
        <w:t>4,2</w:t>
      </w:r>
      <w:r w:rsidRPr="009829B5">
        <w:rPr>
          <w:rFonts w:ascii="ArialMT" w:hAnsi="ArialMT" w:cs="ArialMT"/>
          <w:color w:val="292C29"/>
          <w:sz w:val="16"/>
          <w:szCs w:val="16"/>
          <w:lang w:eastAsia="de-AT"/>
        </w:rPr>
        <w:t xml:space="preserve"> % </w:t>
      </w:r>
    </w:p>
    <w:p w14:paraId="2E0C92F0" w14:textId="6A264C6A" w:rsidR="002F0ABC" w:rsidRPr="009829B5" w:rsidRDefault="002F0ABC" w:rsidP="004C06DA">
      <w:pPr>
        <w:pBdr>
          <w:top w:val="single" w:sz="4" w:space="1" w:color="auto"/>
          <w:left w:val="single" w:sz="4" w:space="4" w:color="auto"/>
          <w:bottom w:val="single" w:sz="4" w:space="1" w:color="auto"/>
          <w:right w:val="single" w:sz="4" w:space="4" w:color="auto"/>
        </w:pBdr>
        <w:tabs>
          <w:tab w:val="center" w:pos="2552"/>
          <w:tab w:val="decimal" w:pos="2835"/>
          <w:tab w:val="left" w:pos="7380"/>
        </w:tabs>
        <w:autoSpaceDE w:val="0"/>
        <w:autoSpaceDN w:val="0"/>
        <w:adjustRightInd w:val="0"/>
        <w:rPr>
          <w:rFonts w:ascii="ArialMT" w:hAnsi="ArialMT" w:cs="ArialMT"/>
          <w:color w:val="292C29"/>
          <w:sz w:val="16"/>
          <w:szCs w:val="16"/>
          <w:lang w:eastAsia="de-AT"/>
        </w:rPr>
      </w:pPr>
      <w:r w:rsidRPr="009829B5">
        <w:rPr>
          <w:rFonts w:ascii="ArialMT" w:hAnsi="ArialMT" w:cs="ArialMT"/>
          <w:color w:val="292C29"/>
          <w:sz w:val="16"/>
          <w:szCs w:val="16"/>
          <w:lang w:eastAsia="de-AT"/>
        </w:rPr>
        <w:t>NÖ</w:t>
      </w:r>
      <w:r w:rsidRPr="009829B5">
        <w:rPr>
          <w:rFonts w:ascii="ArialMT" w:hAnsi="ArialMT" w:cs="ArialMT"/>
          <w:color w:val="292C29"/>
          <w:sz w:val="16"/>
          <w:szCs w:val="16"/>
          <w:lang w:eastAsia="de-AT"/>
        </w:rPr>
        <w:tab/>
        <w:t>-</w:t>
      </w:r>
      <w:r w:rsidR="004C06DA">
        <w:rPr>
          <w:rFonts w:ascii="ArialMT" w:hAnsi="ArialMT" w:cs="ArialMT"/>
          <w:color w:val="292C29"/>
          <w:sz w:val="16"/>
          <w:szCs w:val="16"/>
          <w:lang w:eastAsia="de-AT"/>
        </w:rPr>
        <w:tab/>
      </w:r>
      <w:r w:rsidRPr="009829B5">
        <w:rPr>
          <w:rFonts w:ascii="ArialMT" w:hAnsi="ArialMT" w:cs="ArialMT"/>
          <w:color w:val="292C29"/>
          <w:sz w:val="16"/>
          <w:szCs w:val="16"/>
          <w:lang w:eastAsia="de-AT"/>
        </w:rPr>
        <w:t>1</w:t>
      </w:r>
      <w:r w:rsidR="004C06DA">
        <w:rPr>
          <w:rFonts w:ascii="ArialMT" w:hAnsi="ArialMT" w:cs="ArialMT"/>
          <w:color w:val="292C29"/>
          <w:sz w:val="16"/>
          <w:szCs w:val="16"/>
          <w:lang w:eastAsia="de-AT"/>
        </w:rPr>
        <w:t>2,4</w:t>
      </w:r>
      <w:r w:rsidRPr="009829B5">
        <w:rPr>
          <w:rFonts w:ascii="ArialMT" w:hAnsi="ArialMT" w:cs="ArialMT"/>
          <w:color w:val="292C29"/>
          <w:sz w:val="16"/>
          <w:szCs w:val="16"/>
          <w:lang w:eastAsia="de-AT"/>
        </w:rPr>
        <w:t xml:space="preserve"> % </w:t>
      </w:r>
    </w:p>
    <w:p w14:paraId="336DC3F3" w14:textId="06DDB79C" w:rsidR="002F0ABC" w:rsidRPr="009829B5" w:rsidRDefault="002F0ABC" w:rsidP="004C06DA">
      <w:pPr>
        <w:pBdr>
          <w:top w:val="single" w:sz="4" w:space="1" w:color="auto"/>
          <w:left w:val="single" w:sz="4" w:space="4" w:color="auto"/>
          <w:bottom w:val="single" w:sz="4" w:space="1" w:color="auto"/>
          <w:right w:val="single" w:sz="4" w:space="4" w:color="auto"/>
        </w:pBdr>
        <w:tabs>
          <w:tab w:val="center" w:pos="2552"/>
          <w:tab w:val="decimal" w:pos="2835"/>
          <w:tab w:val="left" w:pos="7380"/>
        </w:tabs>
        <w:autoSpaceDE w:val="0"/>
        <w:autoSpaceDN w:val="0"/>
        <w:adjustRightInd w:val="0"/>
        <w:rPr>
          <w:rFonts w:ascii="ArialMT" w:hAnsi="ArialMT" w:cs="ArialMT"/>
          <w:color w:val="292C29"/>
          <w:sz w:val="16"/>
          <w:szCs w:val="16"/>
          <w:lang w:eastAsia="de-AT"/>
        </w:rPr>
      </w:pPr>
      <w:r w:rsidRPr="009829B5">
        <w:rPr>
          <w:rFonts w:ascii="ArialMT" w:hAnsi="ArialMT" w:cs="ArialMT"/>
          <w:color w:val="292C29"/>
          <w:sz w:val="16"/>
          <w:szCs w:val="16"/>
          <w:lang w:eastAsia="de-AT"/>
        </w:rPr>
        <w:t>Kärnten</w:t>
      </w:r>
      <w:r w:rsidRPr="009829B5">
        <w:rPr>
          <w:rFonts w:ascii="ArialMT" w:hAnsi="ArialMT" w:cs="ArialMT"/>
          <w:color w:val="292C29"/>
          <w:sz w:val="16"/>
          <w:szCs w:val="16"/>
          <w:lang w:eastAsia="de-AT"/>
        </w:rPr>
        <w:tab/>
        <w:t>-</w:t>
      </w:r>
      <w:r w:rsidR="004C06DA">
        <w:rPr>
          <w:rFonts w:ascii="ArialMT" w:hAnsi="ArialMT" w:cs="ArialMT"/>
          <w:color w:val="292C29"/>
          <w:sz w:val="16"/>
          <w:szCs w:val="16"/>
          <w:lang w:eastAsia="de-AT"/>
        </w:rPr>
        <w:tab/>
      </w:r>
      <w:r w:rsidRPr="009829B5">
        <w:rPr>
          <w:rFonts w:ascii="ArialMT" w:hAnsi="ArialMT" w:cs="ArialMT"/>
          <w:color w:val="292C29"/>
          <w:sz w:val="16"/>
          <w:szCs w:val="16"/>
          <w:lang w:eastAsia="de-AT"/>
        </w:rPr>
        <w:t>1</w:t>
      </w:r>
      <w:r w:rsidR="004C06DA">
        <w:rPr>
          <w:rFonts w:ascii="ArialMT" w:hAnsi="ArialMT" w:cs="ArialMT"/>
          <w:color w:val="292C29"/>
          <w:sz w:val="16"/>
          <w:szCs w:val="16"/>
          <w:lang w:eastAsia="de-AT"/>
        </w:rPr>
        <w:t>3,2</w:t>
      </w:r>
      <w:r w:rsidRPr="009829B5">
        <w:rPr>
          <w:rFonts w:ascii="ArialMT" w:hAnsi="ArialMT" w:cs="ArialMT"/>
          <w:color w:val="292C29"/>
          <w:sz w:val="16"/>
          <w:szCs w:val="16"/>
          <w:lang w:eastAsia="de-AT"/>
        </w:rPr>
        <w:t xml:space="preserve"> % </w:t>
      </w:r>
    </w:p>
    <w:p w14:paraId="1503150D" w14:textId="54D4468B" w:rsidR="002F0ABC" w:rsidRPr="009829B5" w:rsidRDefault="002F0ABC" w:rsidP="004C06DA">
      <w:pPr>
        <w:pBdr>
          <w:top w:val="single" w:sz="4" w:space="1" w:color="auto"/>
          <w:left w:val="single" w:sz="4" w:space="4" w:color="auto"/>
          <w:bottom w:val="single" w:sz="4" w:space="1" w:color="auto"/>
          <w:right w:val="single" w:sz="4" w:space="4" w:color="auto"/>
        </w:pBdr>
        <w:tabs>
          <w:tab w:val="center" w:pos="2552"/>
          <w:tab w:val="decimal" w:pos="2835"/>
          <w:tab w:val="left" w:pos="7380"/>
        </w:tabs>
        <w:autoSpaceDE w:val="0"/>
        <w:autoSpaceDN w:val="0"/>
        <w:adjustRightInd w:val="0"/>
        <w:rPr>
          <w:rFonts w:ascii="ArialMT" w:hAnsi="ArialMT" w:cs="ArialMT"/>
          <w:color w:val="292C29"/>
          <w:sz w:val="16"/>
          <w:szCs w:val="16"/>
          <w:lang w:eastAsia="de-AT"/>
        </w:rPr>
      </w:pPr>
      <w:r w:rsidRPr="009829B5">
        <w:rPr>
          <w:rFonts w:ascii="ArialMT" w:hAnsi="ArialMT" w:cs="ArialMT"/>
          <w:color w:val="292C29"/>
          <w:sz w:val="16"/>
          <w:szCs w:val="16"/>
          <w:lang w:eastAsia="de-AT"/>
        </w:rPr>
        <w:t xml:space="preserve">Burgenland </w:t>
      </w:r>
      <w:r w:rsidRPr="009829B5">
        <w:rPr>
          <w:rFonts w:ascii="ArialMT" w:hAnsi="ArialMT" w:cs="ArialMT"/>
          <w:color w:val="292C29"/>
          <w:sz w:val="16"/>
          <w:szCs w:val="16"/>
          <w:lang w:eastAsia="de-AT"/>
        </w:rPr>
        <w:tab/>
        <w:t>-</w:t>
      </w:r>
      <w:r w:rsidR="004C06DA">
        <w:rPr>
          <w:rFonts w:ascii="ArialMT" w:hAnsi="ArialMT" w:cs="ArialMT"/>
          <w:color w:val="292C29"/>
          <w:sz w:val="16"/>
          <w:szCs w:val="16"/>
          <w:lang w:eastAsia="de-AT"/>
        </w:rPr>
        <w:tab/>
      </w:r>
      <w:r w:rsidRPr="009829B5">
        <w:rPr>
          <w:rFonts w:ascii="ArialMT" w:hAnsi="ArialMT" w:cs="ArialMT"/>
          <w:color w:val="292C29"/>
          <w:sz w:val="16"/>
          <w:szCs w:val="16"/>
          <w:lang w:eastAsia="de-AT"/>
        </w:rPr>
        <w:t>1</w:t>
      </w:r>
      <w:r w:rsidR="004C06DA">
        <w:rPr>
          <w:rFonts w:ascii="ArialMT" w:hAnsi="ArialMT" w:cs="ArialMT"/>
          <w:color w:val="292C29"/>
          <w:sz w:val="16"/>
          <w:szCs w:val="16"/>
          <w:lang w:eastAsia="de-AT"/>
        </w:rPr>
        <w:t>3,3</w:t>
      </w:r>
      <w:r w:rsidRPr="009829B5">
        <w:rPr>
          <w:rFonts w:ascii="ArialMT" w:hAnsi="ArialMT" w:cs="ArialMT"/>
          <w:color w:val="292C29"/>
          <w:sz w:val="16"/>
          <w:szCs w:val="16"/>
          <w:lang w:eastAsia="de-AT"/>
        </w:rPr>
        <w:t xml:space="preserve"> % </w:t>
      </w:r>
    </w:p>
    <w:p w14:paraId="324B4A0C" w14:textId="1343AB71" w:rsidR="002F0ABC" w:rsidRPr="009829B5" w:rsidRDefault="002F0ABC" w:rsidP="004C06DA">
      <w:pPr>
        <w:pBdr>
          <w:top w:val="single" w:sz="4" w:space="1" w:color="auto"/>
          <w:left w:val="single" w:sz="4" w:space="4" w:color="auto"/>
          <w:bottom w:val="single" w:sz="4" w:space="1" w:color="auto"/>
          <w:right w:val="single" w:sz="4" w:space="4" w:color="auto"/>
        </w:pBdr>
        <w:tabs>
          <w:tab w:val="center" w:pos="2552"/>
          <w:tab w:val="decimal" w:pos="2835"/>
          <w:tab w:val="left" w:pos="7380"/>
        </w:tabs>
        <w:autoSpaceDE w:val="0"/>
        <w:autoSpaceDN w:val="0"/>
        <w:adjustRightInd w:val="0"/>
        <w:rPr>
          <w:rFonts w:ascii="ArialMT" w:hAnsi="ArialMT" w:cs="ArialMT"/>
          <w:color w:val="292C29"/>
          <w:sz w:val="16"/>
          <w:szCs w:val="16"/>
          <w:lang w:eastAsia="de-AT"/>
        </w:rPr>
      </w:pPr>
      <w:r w:rsidRPr="009829B5">
        <w:rPr>
          <w:rFonts w:ascii="ArialMT" w:hAnsi="ArialMT" w:cs="ArialMT"/>
          <w:color w:val="292C29"/>
          <w:sz w:val="16"/>
          <w:szCs w:val="16"/>
          <w:lang w:eastAsia="de-AT"/>
        </w:rPr>
        <w:t xml:space="preserve">Salzburg </w:t>
      </w:r>
      <w:r w:rsidRPr="009829B5">
        <w:rPr>
          <w:rFonts w:ascii="ArialMT" w:hAnsi="ArialMT" w:cs="ArialMT"/>
          <w:color w:val="292C29"/>
          <w:sz w:val="16"/>
          <w:szCs w:val="16"/>
          <w:lang w:eastAsia="de-AT"/>
        </w:rPr>
        <w:tab/>
        <w:t>-</w:t>
      </w:r>
      <w:r w:rsidR="004C06DA">
        <w:rPr>
          <w:rFonts w:ascii="ArialMT" w:hAnsi="ArialMT" w:cs="ArialMT"/>
          <w:color w:val="292C29"/>
          <w:sz w:val="16"/>
          <w:szCs w:val="16"/>
          <w:lang w:eastAsia="de-AT"/>
        </w:rPr>
        <w:tab/>
      </w:r>
      <w:r w:rsidRPr="009829B5">
        <w:rPr>
          <w:rFonts w:ascii="ArialMT" w:hAnsi="ArialMT" w:cs="ArialMT"/>
          <w:color w:val="292C29"/>
          <w:sz w:val="16"/>
          <w:szCs w:val="16"/>
          <w:lang w:eastAsia="de-AT"/>
        </w:rPr>
        <w:t>1</w:t>
      </w:r>
      <w:r w:rsidR="004C06DA">
        <w:rPr>
          <w:rFonts w:ascii="ArialMT" w:hAnsi="ArialMT" w:cs="ArialMT"/>
          <w:color w:val="292C29"/>
          <w:sz w:val="16"/>
          <w:szCs w:val="16"/>
          <w:lang w:eastAsia="de-AT"/>
        </w:rPr>
        <w:t>5,4</w:t>
      </w:r>
      <w:r w:rsidRPr="009829B5">
        <w:rPr>
          <w:rFonts w:ascii="ArialMT" w:hAnsi="ArialMT" w:cs="ArialMT"/>
          <w:color w:val="292C29"/>
          <w:sz w:val="16"/>
          <w:szCs w:val="16"/>
          <w:lang w:eastAsia="de-AT"/>
        </w:rPr>
        <w:t xml:space="preserve"> % </w:t>
      </w:r>
    </w:p>
    <w:p w14:paraId="0D647C4A" w14:textId="46227C37" w:rsidR="002F0ABC" w:rsidRPr="009829B5" w:rsidRDefault="002F0ABC" w:rsidP="004C06DA">
      <w:pPr>
        <w:pBdr>
          <w:top w:val="single" w:sz="4" w:space="1" w:color="auto"/>
          <w:left w:val="single" w:sz="4" w:space="4" w:color="auto"/>
          <w:bottom w:val="single" w:sz="4" w:space="1" w:color="auto"/>
          <w:right w:val="single" w:sz="4" w:space="4" w:color="auto"/>
        </w:pBdr>
        <w:tabs>
          <w:tab w:val="center" w:pos="2552"/>
          <w:tab w:val="decimal" w:pos="2835"/>
          <w:tab w:val="left" w:pos="7380"/>
        </w:tabs>
        <w:autoSpaceDE w:val="0"/>
        <w:autoSpaceDN w:val="0"/>
        <w:adjustRightInd w:val="0"/>
        <w:rPr>
          <w:rFonts w:ascii="ArialMT" w:hAnsi="ArialMT" w:cs="ArialMT"/>
          <w:color w:val="292C29"/>
          <w:sz w:val="16"/>
          <w:szCs w:val="16"/>
          <w:lang w:eastAsia="de-AT"/>
        </w:rPr>
      </w:pPr>
      <w:r w:rsidRPr="009829B5">
        <w:rPr>
          <w:rFonts w:ascii="ArialMT" w:hAnsi="ArialMT" w:cs="ArialMT"/>
          <w:color w:val="292C29"/>
          <w:sz w:val="16"/>
          <w:szCs w:val="16"/>
          <w:lang w:eastAsia="de-AT"/>
        </w:rPr>
        <w:t xml:space="preserve">Steiermark </w:t>
      </w:r>
      <w:r w:rsidRPr="009829B5">
        <w:rPr>
          <w:rFonts w:ascii="ArialMT" w:hAnsi="ArialMT" w:cs="ArialMT"/>
          <w:color w:val="292C29"/>
          <w:sz w:val="16"/>
          <w:szCs w:val="16"/>
          <w:lang w:eastAsia="de-AT"/>
        </w:rPr>
        <w:tab/>
        <w:t>-</w:t>
      </w:r>
      <w:r w:rsidR="004C06DA">
        <w:rPr>
          <w:rFonts w:ascii="ArialMT" w:hAnsi="ArialMT" w:cs="ArialMT"/>
          <w:color w:val="292C29"/>
          <w:sz w:val="16"/>
          <w:szCs w:val="16"/>
          <w:lang w:eastAsia="de-AT"/>
        </w:rPr>
        <w:tab/>
      </w:r>
      <w:r w:rsidRPr="009829B5">
        <w:rPr>
          <w:rFonts w:ascii="ArialMT" w:hAnsi="ArialMT" w:cs="ArialMT"/>
          <w:color w:val="292C29"/>
          <w:sz w:val="16"/>
          <w:szCs w:val="16"/>
          <w:lang w:eastAsia="de-AT"/>
        </w:rPr>
        <w:t>1</w:t>
      </w:r>
      <w:r w:rsidR="004C06DA">
        <w:rPr>
          <w:rFonts w:ascii="ArialMT" w:hAnsi="ArialMT" w:cs="ArialMT"/>
          <w:color w:val="292C29"/>
          <w:sz w:val="16"/>
          <w:szCs w:val="16"/>
          <w:lang w:eastAsia="de-AT"/>
        </w:rPr>
        <w:t>5,2</w:t>
      </w:r>
      <w:r w:rsidRPr="009829B5">
        <w:rPr>
          <w:rFonts w:ascii="ArialMT" w:hAnsi="ArialMT" w:cs="ArialMT"/>
          <w:color w:val="292C29"/>
          <w:sz w:val="16"/>
          <w:szCs w:val="16"/>
          <w:lang w:eastAsia="de-AT"/>
        </w:rPr>
        <w:t xml:space="preserve"> % </w:t>
      </w:r>
    </w:p>
    <w:p w14:paraId="6300D2C3" w14:textId="5487F304" w:rsidR="002F0ABC" w:rsidRPr="009829B5" w:rsidRDefault="002F0ABC" w:rsidP="004C06DA">
      <w:pPr>
        <w:pBdr>
          <w:top w:val="single" w:sz="4" w:space="1" w:color="auto"/>
          <w:left w:val="single" w:sz="4" w:space="4" w:color="auto"/>
          <w:bottom w:val="single" w:sz="4" w:space="1" w:color="auto"/>
          <w:right w:val="single" w:sz="4" w:space="4" w:color="auto"/>
        </w:pBdr>
        <w:tabs>
          <w:tab w:val="center" w:pos="2552"/>
          <w:tab w:val="decimal" w:pos="2835"/>
          <w:tab w:val="left" w:pos="7380"/>
        </w:tabs>
        <w:autoSpaceDE w:val="0"/>
        <w:autoSpaceDN w:val="0"/>
        <w:adjustRightInd w:val="0"/>
        <w:rPr>
          <w:rFonts w:ascii="ArialMT" w:hAnsi="ArialMT" w:cs="ArialMT"/>
          <w:color w:val="292C29"/>
          <w:sz w:val="16"/>
          <w:szCs w:val="16"/>
          <w:lang w:eastAsia="de-AT"/>
        </w:rPr>
      </w:pPr>
      <w:r w:rsidRPr="009829B5">
        <w:rPr>
          <w:rFonts w:ascii="ArialMT" w:hAnsi="ArialMT" w:cs="ArialMT"/>
          <w:color w:val="292C29"/>
          <w:sz w:val="16"/>
          <w:szCs w:val="16"/>
          <w:lang w:eastAsia="de-AT"/>
        </w:rPr>
        <w:t xml:space="preserve">Tirol </w:t>
      </w:r>
      <w:r w:rsidRPr="009829B5">
        <w:rPr>
          <w:rFonts w:ascii="ArialMT" w:hAnsi="ArialMT" w:cs="ArialMT"/>
          <w:color w:val="292C29"/>
          <w:sz w:val="16"/>
          <w:szCs w:val="16"/>
          <w:lang w:eastAsia="de-AT"/>
        </w:rPr>
        <w:tab/>
        <w:t>-</w:t>
      </w:r>
      <w:r w:rsidR="004C06DA">
        <w:rPr>
          <w:rFonts w:ascii="ArialMT" w:hAnsi="ArialMT" w:cs="ArialMT"/>
          <w:color w:val="292C29"/>
          <w:sz w:val="16"/>
          <w:szCs w:val="16"/>
          <w:lang w:eastAsia="de-AT"/>
        </w:rPr>
        <w:tab/>
      </w:r>
      <w:r w:rsidRPr="009829B5">
        <w:rPr>
          <w:rFonts w:ascii="ArialMT" w:hAnsi="ArialMT" w:cs="ArialMT"/>
          <w:color w:val="292C29"/>
          <w:sz w:val="16"/>
          <w:szCs w:val="16"/>
          <w:lang w:eastAsia="de-AT"/>
        </w:rPr>
        <w:t>1</w:t>
      </w:r>
      <w:r w:rsidR="004C06DA">
        <w:rPr>
          <w:rFonts w:ascii="ArialMT" w:hAnsi="ArialMT" w:cs="ArialMT"/>
          <w:color w:val="292C29"/>
          <w:sz w:val="16"/>
          <w:szCs w:val="16"/>
          <w:lang w:eastAsia="de-AT"/>
        </w:rPr>
        <w:t>7,5</w:t>
      </w:r>
      <w:r w:rsidRPr="009829B5">
        <w:rPr>
          <w:rFonts w:ascii="ArialMT" w:hAnsi="ArialMT" w:cs="ArialMT"/>
          <w:color w:val="292C29"/>
          <w:sz w:val="16"/>
          <w:szCs w:val="16"/>
          <w:lang w:eastAsia="de-AT"/>
        </w:rPr>
        <w:t xml:space="preserve"> % </w:t>
      </w:r>
    </w:p>
    <w:p w14:paraId="31A25F4D" w14:textId="707E5316" w:rsidR="002F0ABC" w:rsidRPr="009829B5" w:rsidRDefault="002F0ABC" w:rsidP="004C06DA">
      <w:pPr>
        <w:pBdr>
          <w:top w:val="single" w:sz="4" w:space="1" w:color="auto"/>
          <w:left w:val="single" w:sz="4" w:space="4" w:color="auto"/>
          <w:bottom w:val="single" w:sz="4" w:space="1" w:color="auto"/>
          <w:right w:val="single" w:sz="4" w:space="4" w:color="auto"/>
        </w:pBdr>
        <w:tabs>
          <w:tab w:val="center" w:pos="2552"/>
          <w:tab w:val="decimal" w:pos="2835"/>
          <w:tab w:val="left" w:pos="7380"/>
        </w:tabs>
        <w:autoSpaceDE w:val="0"/>
        <w:autoSpaceDN w:val="0"/>
        <w:adjustRightInd w:val="0"/>
        <w:rPr>
          <w:rFonts w:ascii="ArialMT" w:hAnsi="ArialMT" w:cs="ArialMT"/>
          <w:color w:val="292C29"/>
          <w:sz w:val="16"/>
          <w:szCs w:val="16"/>
          <w:lang w:eastAsia="de-AT"/>
        </w:rPr>
      </w:pPr>
      <w:r w:rsidRPr="009829B5">
        <w:rPr>
          <w:rFonts w:ascii="ArialMT" w:hAnsi="ArialMT" w:cs="ArialMT"/>
          <w:color w:val="292C29"/>
          <w:sz w:val="16"/>
          <w:szCs w:val="16"/>
          <w:lang w:eastAsia="de-AT"/>
        </w:rPr>
        <w:t xml:space="preserve">Oberösterreich </w:t>
      </w:r>
      <w:r w:rsidRPr="009829B5">
        <w:rPr>
          <w:rFonts w:ascii="ArialMT" w:hAnsi="ArialMT" w:cs="ArialMT"/>
          <w:color w:val="292C29"/>
          <w:sz w:val="16"/>
          <w:szCs w:val="16"/>
          <w:lang w:eastAsia="de-AT"/>
        </w:rPr>
        <w:tab/>
        <w:t>-</w:t>
      </w:r>
      <w:r w:rsidR="004C06DA">
        <w:rPr>
          <w:rFonts w:ascii="ArialMT" w:hAnsi="ArialMT" w:cs="ArialMT"/>
          <w:color w:val="292C29"/>
          <w:sz w:val="16"/>
          <w:szCs w:val="16"/>
          <w:lang w:eastAsia="de-AT"/>
        </w:rPr>
        <w:tab/>
        <w:t xml:space="preserve">17,6 </w:t>
      </w:r>
      <w:r w:rsidRPr="009829B5">
        <w:rPr>
          <w:rFonts w:ascii="ArialMT" w:hAnsi="ArialMT" w:cs="ArialMT"/>
          <w:color w:val="292C29"/>
          <w:sz w:val="16"/>
          <w:szCs w:val="16"/>
          <w:lang w:eastAsia="de-AT"/>
        </w:rPr>
        <w:t xml:space="preserve">% </w:t>
      </w:r>
    </w:p>
    <w:p w14:paraId="3D2EEC5B" w14:textId="795A1591" w:rsidR="002F0ABC" w:rsidRPr="0032452D" w:rsidRDefault="002F0ABC" w:rsidP="004C06DA">
      <w:pPr>
        <w:pBdr>
          <w:top w:val="single" w:sz="4" w:space="1" w:color="auto"/>
          <w:left w:val="single" w:sz="4" w:space="4" w:color="auto"/>
          <w:bottom w:val="single" w:sz="4" w:space="1" w:color="auto"/>
          <w:right w:val="single" w:sz="4" w:space="4" w:color="auto"/>
        </w:pBdr>
        <w:tabs>
          <w:tab w:val="center" w:pos="2552"/>
          <w:tab w:val="decimal" w:pos="2835"/>
        </w:tabs>
        <w:autoSpaceDE w:val="0"/>
        <w:autoSpaceDN w:val="0"/>
        <w:adjustRightInd w:val="0"/>
        <w:rPr>
          <w:rFonts w:ascii="Arial" w:hAnsi="Arial" w:cs="Arial"/>
          <w:color w:val="292C29"/>
          <w:sz w:val="20"/>
          <w:szCs w:val="20"/>
          <w:lang w:eastAsia="de-AT"/>
        </w:rPr>
      </w:pPr>
      <w:r w:rsidRPr="009829B5">
        <w:rPr>
          <w:rFonts w:ascii="ArialMT" w:hAnsi="ArialMT" w:cs="ArialMT"/>
          <w:color w:val="292C29"/>
          <w:sz w:val="16"/>
          <w:szCs w:val="16"/>
          <w:lang w:eastAsia="de-AT"/>
        </w:rPr>
        <w:t>Vorarlberg</w:t>
      </w:r>
      <w:r w:rsidR="004C06DA">
        <w:rPr>
          <w:rFonts w:ascii="ArialMT" w:hAnsi="ArialMT" w:cs="ArialMT"/>
          <w:color w:val="292C29"/>
          <w:sz w:val="16"/>
          <w:szCs w:val="16"/>
          <w:lang w:eastAsia="de-AT"/>
        </w:rPr>
        <w:tab/>
      </w:r>
      <w:r w:rsidRPr="009829B5">
        <w:rPr>
          <w:rFonts w:ascii="ArialMT" w:hAnsi="ArialMT" w:cs="ArialMT"/>
          <w:color w:val="292C29"/>
          <w:sz w:val="16"/>
          <w:szCs w:val="16"/>
          <w:lang w:eastAsia="de-AT"/>
        </w:rPr>
        <w:t>-</w:t>
      </w:r>
      <w:r w:rsidR="004C06DA">
        <w:rPr>
          <w:rFonts w:ascii="ArialMT" w:hAnsi="ArialMT" w:cs="ArialMT"/>
          <w:color w:val="292C29"/>
          <w:sz w:val="16"/>
          <w:szCs w:val="16"/>
          <w:lang w:eastAsia="de-AT"/>
        </w:rPr>
        <w:tab/>
      </w:r>
      <w:r w:rsidRPr="009829B5">
        <w:rPr>
          <w:rFonts w:ascii="ArialMT" w:hAnsi="ArialMT" w:cs="ArialMT"/>
          <w:color w:val="292C29"/>
          <w:sz w:val="16"/>
          <w:szCs w:val="16"/>
          <w:lang w:eastAsia="de-AT"/>
        </w:rPr>
        <w:t>2</w:t>
      </w:r>
      <w:r w:rsidR="004C06DA">
        <w:rPr>
          <w:rFonts w:ascii="ArialMT" w:hAnsi="ArialMT" w:cs="ArialMT"/>
          <w:color w:val="292C29"/>
          <w:sz w:val="16"/>
          <w:szCs w:val="16"/>
          <w:lang w:eastAsia="de-AT"/>
        </w:rPr>
        <w:t>2</w:t>
      </w:r>
      <w:r w:rsidRPr="009829B5">
        <w:rPr>
          <w:rFonts w:ascii="ArialMT" w:hAnsi="ArialMT" w:cs="ArialMT"/>
          <w:color w:val="292C29"/>
          <w:sz w:val="16"/>
          <w:szCs w:val="16"/>
          <w:lang w:eastAsia="de-AT"/>
        </w:rPr>
        <w:t>,</w:t>
      </w:r>
      <w:r w:rsidR="004C06DA">
        <w:rPr>
          <w:rFonts w:ascii="ArialMT" w:hAnsi="ArialMT" w:cs="ArialMT"/>
          <w:color w:val="292C29"/>
          <w:sz w:val="16"/>
          <w:szCs w:val="16"/>
          <w:lang w:eastAsia="de-AT"/>
        </w:rPr>
        <w:t>2</w:t>
      </w:r>
      <w:r w:rsidRPr="009829B5">
        <w:rPr>
          <w:rFonts w:ascii="ArialMT" w:hAnsi="ArialMT" w:cs="ArialMT"/>
          <w:color w:val="292C29"/>
          <w:sz w:val="16"/>
          <w:szCs w:val="16"/>
          <w:lang w:eastAsia="de-AT"/>
        </w:rPr>
        <w:t xml:space="preserve"> % </w:t>
      </w:r>
    </w:p>
    <w:p w14:paraId="4C2E41AA" w14:textId="5AD8558C" w:rsidR="002F0ABC" w:rsidRPr="009E228E" w:rsidRDefault="002F0ABC" w:rsidP="002F0ABC">
      <w:pPr>
        <w:spacing w:before="100" w:beforeAutospacing="1" w:after="100" w:afterAutospacing="1"/>
        <w:outlineLvl w:val="0"/>
        <w:rPr>
          <w:rFonts w:ascii="Arial" w:hAnsi="Arial" w:cs="Arial"/>
          <w:sz w:val="16"/>
          <w:szCs w:val="16"/>
        </w:rPr>
      </w:pPr>
      <w:r w:rsidRPr="009E228E">
        <w:rPr>
          <w:rFonts w:ascii="Arial" w:hAnsi="Arial" w:cs="Arial"/>
          <w:b/>
          <w:color w:val="000000"/>
          <w:sz w:val="16"/>
          <w:szCs w:val="16"/>
        </w:rPr>
        <w:t>Link:</w:t>
      </w:r>
      <w:r>
        <w:rPr>
          <w:rFonts w:ascii="Arial" w:hAnsi="Arial" w:cs="Arial"/>
          <w:b/>
          <w:color w:val="000000"/>
          <w:sz w:val="16"/>
          <w:szCs w:val="16"/>
        </w:rPr>
        <w:t xml:space="preserve"> </w:t>
      </w:r>
      <w:hyperlink r:id="rId10" w:history="1">
        <w:r>
          <w:rPr>
            <w:rStyle w:val="Hyperlink"/>
            <w:rFonts w:ascii="Arial" w:hAnsi="Arial" w:cs="Arial"/>
            <w:b/>
            <w:sz w:val="16"/>
            <w:szCs w:val="16"/>
          </w:rPr>
          <w:t>Statistik Austria &gt; Bruttojahreseinkommen von Frauen und Männern nach Bundesländern 2020</w:t>
        </w:r>
      </w:hyperlink>
    </w:p>
    <w:p w14:paraId="1DBE9BD0" w14:textId="2EB95550" w:rsidR="005B75E3" w:rsidRDefault="005B75E3">
      <w:pPr>
        <w:ind w:right="0"/>
      </w:pPr>
      <w:r>
        <w:br w:type="page"/>
      </w:r>
    </w:p>
    <w:p w14:paraId="0E3B8D41" w14:textId="77777777" w:rsidR="005B75E3" w:rsidRPr="006D16F5" w:rsidRDefault="005B75E3" w:rsidP="005B75E3">
      <w:pPr>
        <w:rPr>
          <w:b/>
          <w:bCs/>
        </w:rPr>
      </w:pPr>
      <w:r w:rsidRPr="006D16F5">
        <w:rPr>
          <w:b/>
          <w:bCs/>
        </w:rPr>
        <w:lastRenderedPageBreak/>
        <w:t>Equal Pay Day</w:t>
      </w:r>
    </w:p>
    <w:p w14:paraId="1DA6A18D" w14:textId="77777777" w:rsidR="005B75E3" w:rsidRPr="006D16F5" w:rsidRDefault="005B75E3" w:rsidP="005B75E3"/>
    <w:p w14:paraId="1C9054C6" w14:textId="77777777" w:rsidR="005B75E3" w:rsidRPr="006D16F5" w:rsidRDefault="005B75E3" w:rsidP="005B75E3">
      <w:r w:rsidRPr="006D16F5">
        <w:t>Der Equal Pay Day (EPD), der internationale Aktionstag für Entgeltgleichheit zwischen Frauen und Männern, macht auf den bestehenden Gender Pay Gap aufmerksam und wird in zahlreichen Ländern an unterschiedlichen Tagen begangen.</w:t>
      </w:r>
    </w:p>
    <w:p w14:paraId="6810EC65" w14:textId="77777777" w:rsidR="005B75E3" w:rsidRPr="006D16F5" w:rsidRDefault="005B75E3" w:rsidP="005B75E3">
      <w:r w:rsidRPr="006D16F5">
        <w:t>Der „Tag für gleiche Bezahlung“ hat seinen Ursprung in den USA. Der Equal Pay Day wurde dort 1966 vom „National Committee on Pay Equity“ (NCPE) ins Leben gerufen. Das NCPE ist ein Zusammenschluss von amerikanischen Frauen- und Bürgerrechtsorganisationen, von Gewerkschaften sowie religiösen und beruflichen Vereinigungen, der das Ziel hat, auf die ungleiche Bezahlung zwischen Männern und Frauen, insbesondere auch afroamerikanischen Frauen, hinzuweisen und die Lohnkluft zu beseitigen.</w:t>
      </w:r>
    </w:p>
    <w:p w14:paraId="6C49CEEE" w14:textId="77777777" w:rsidR="005B75E3" w:rsidRPr="006D16F5" w:rsidRDefault="005B75E3" w:rsidP="005B75E3">
      <w:r w:rsidRPr="006D16F5">
        <w:t>2008 wurde der Equal Pay Day in Deutschland eingeführt, erst 2011 hat die Europäische Kommission den Europäischen Equal Pay Day ins Leben gerufen, der seither jährlich begangen wird.</w:t>
      </w:r>
      <w:r>
        <w:t xml:space="preserve"> </w:t>
      </w:r>
    </w:p>
    <w:p w14:paraId="66948468" w14:textId="77777777" w:rsidR="005B75E3" w:rsidRPr="006D16F5" w:rsidRDefault="005B75E3" w:rsidP="005B75E3">
      <w:r w:rsidRPr="006D16F5">
        <w:t>Der Equal Pay Day findet mittlerweile in vielen europäischen Ländern statt: unter anderen beteiligen sich Belgien, Deutschland, Frankreich, Großbritannien, Irland, Italien, Niederlande, Österreich, Polen, Rumänien, Schweiz, Spanien, Schweden, Tschechien.</w:t>
      </w:r>
    </w:p>
    <w:p w14:paraId="6AA88509" w14:textId="77777777" w:rsidR="005B75E3" w:rsidRPr="006D16F5" w:rsidRDefault="005B75E3" w:rsidP="005B75E3">
      <w:r w:rsidRPr="006D16F5">
        <w:t>BPW Austria hat 2009 den Equal Pay Day für Österreich das erste Mal errechnet, seither wird er jährlich als Aktionstag begangen, um auf die Ungerechtigkeit in der Entlohnung aufmerksam zu machen und Bewusstsein dafür zu schaffen.</w:t>
      </w:r>
    </w:p>
    <w:p w14:paraId="5E04A2C1" w14:textId="77777777" w:rsidR="005B75E3" w:rsidRPr="006D16F5" w:rsidRDefault="005B75E3" w:rsidP="005B75E3"/>
    <w:p w14:paraId="72E4A2F2" w14:textId="77777777" w:rsidR="005B75E3" w:rsidRPr="006D16F5" w:rsidRDefault="005B75E3" w:rsidP="005B75E3">
      <w:pPr>
        <w:rPr>
          <w:b/>
          <w:bCs/>
        </w:rPr>
      </w:pPr>
      <w:r w:rsidRPr="006D16F5">
        <w:rPr>
          <w:b/>
          <w:bCs/>
        </w:rPr>
        <w:t>BPW</w:t>
      </w:r>
    </w:p>
    <w:p w14:paraId="484C2024" w14:textId="77777777" w:rsidR="005B75E3" w:rsidRPr="006D16F5" w:rsidRDefault="005B75E3" w:rsidP="005B75E3"/>
    <w:p w14:paraId="2B79D33B" w14:textId="77777777" w:rsidR="005B75E3" w:rsidRPr="006D16F5" w:rsidRDefault="005B75E3" w:rsidP="005B75E3">
      <w:r w:rsidRPr="006D16F5">
        <w:t>Business and Professional Women BPW ist das größte internationale Netzwerk für</w:t>
      </w:r>
    </w:p>
    <w:p w14:paraId="7BA94337" w14:textId="77777777" w:rsidR="005B75E3" w:rsidRPr="006D16F5" w:rsidRDefault="005B75E3" w:rsidP="005B75E3">
      <w:r w:rsidRPr="006D16F5">
        <w:t>berufstätige Frauen mit Mitgliedern in über 100 Nationen weltweit. Österreich war im Jahr 1930 als Gründungsmitglied in Genf maßgeblich beteiligt und vereint heute in BPW Austria österreichweit 10 Clubs mit knapp 300 Frauen. In den regionalen Clubs engagieren sich berufstätige Frauen aller Branchen, Angestellte wie Selbständige quer über alle Hierarchieebenen. Ziel ist die Entwicklung und Förderung des beruflichen Potenzials von Frauen sowie die Gleichstellung der Frauen im Beruf.</w:t>
      </w:r>
    </w:p>
    <w:p w14:paraId="27848B72" w14:textId="77777777" w:rsidR="005B75E3" w:rsidRDefault="005B75E3" w:rsidP="005B75E3">
      <w:r w:rsidRPr="006D16F5">
        <w:t>Business and Professional Women BPW ist interkulturell, überparteilich und unabhängig.</w:t>
      </w:r>
    </w:p>
    <w:p w14:paraId="22E64EA3" w14:textId="77777777" w:rsidR="005B75E3" w:rsidRDefault="005B75E3" w:rsidP="005B75E3"/>
    <w:p w14:paraId="78637BDC" w14:textId="77777777" w:rsidR="005B75E3" w:rsidRPr="006D16F5" w:rsidRDefault="005B75E3" w:rsidP="005B75E3">
      <w:pPr>
        <w:rPr>
          <w:b/>
          <w:bCs/>
        </w:rPr>
      </w:pPr>
      <w:r w:rsidRPr="006D16F5">
        <w:rPr>
          <w:b/>
          <w:bCs/>
        </w:rPr>
        <w:t>Rückfragehinweis &amp; Interviewanfragen</w:t>
      </w:r>
    </w:p>
    <w:p w14:paraId="1B938D0D" w14:textId="77777777" w:rsidR="005B75E3" w:rsidRPr="005B75E3" w:rsidRDefault="005B75E3" w:rsidP="005B75E3"/>
    <w:p w14:paraId="0696F562" w14:textId="77777777" w:rsidR="005B75E3" w:rsidRPr="005B75E3" w:rsidRDefault="005B75E3" w:rsidP="005B75E3">
      <w:r w:rsidRPr="005B75E3">
        <w:t xml:space="preserve">BPW Austria – Business and Professional Women </w:t>
      </w:r>
    </w:p>
    <w:p w14:paraId="685052EB" w14:textId="77777777" w:rsidR="005B75E3" w:rsidRDefault="005B75E3" w:rsidP="005B75E3">
      <w:r>
        <w:t>Gesellschaft berufstätiger Frauen – Österreich</w:t>
      </w:r>
    </w:p>
    <w:p w14:paraId="6C89E28D" w14:textId="77777777" w:rsidR="005B75E3" w:rsidRDefault="005B75E3" w:rsidP="005B75E3">
      <w:r>
        <w:t>Universitätsring 14 – 1010 Wien</w:t>
      </w:r>
    </w:p>
    <w:p w14:paraId="00C52B9F" w14:textId="77777777" w:rsidR="005B75E3" w:rsidRDefault="005B75E3" w:rsidP="005B75E3">
      <w:r>
        <w:t>E-Mail: bpw.austria@bpw.at</w:t>
      </w:r>
    </w:p>
    <w:sectPr w:rsidR="005B75E3" w:rsidSect="00EE6E0A">
      <w:headerReference w:type="even" r:id="rId11"/>
      <w:headerReference w:type="default" r:id="rId12"/>
      <w:footerReference w:type="even" r:id="rId13"/>
      <w:footerReference w:type="default" r:id="rId14"/>
      <w:headerReference w:type="first" r:id="rId15"/>
      <w:footerReference w:type="first" r:id="rId16"/>
      <w:pgSz w:w="11906" w:h="16838"/>
      <w:pgMar w:top="2397" w:right="3806" w:bottom="1849"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9B9B1" w14:textId="77777777" w:rsidR="0068107E" w:rsidRDefault="0068107E" w:rsidP="00525B32">
      <w:r>
        <w:separator/>
      </w:r>
    </w:p>
  </w:endnote>
  <w:endnote w:type="continuationSeparator" w:id="0">
    <w:p w14:paraId="07B2BC48" w14:textId="77777777" w:rsidR="0068107E" w:rsidRDefault="0068107E" w:rsidP="0052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Cond">
    <w:panose1 w:val="020B0506020202020204"/>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EA81" w14:textId="77777777" w:rsidR="00907652" w:rsidRDefault="009076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1136" w14:textId="10B9A7C3" w:rsidR="00BC41C4" w:rsidRDefault="00B75658" w:rsidP="00525B32">
    <w:pPr>
      <w:pStyle w:val="Fuzeile"/>
    </w:pPr>
    <w:r>
      <w:rPr>
        <w:noProof/>
      </w:rPr>
      <w:drawing>
        <wp:anchor distT="0" distB="0" distL="114300" distR="114300" simplePos="0" relativeHeight="251664384" behindDoc="1" locked="0" layoutInCell="1" allowOverlap="0" wp14:anchorId="75B503B1" wp14:editId="7042FFF2">
          <wp:simplePos x="0" y="0"/>
          <wp:positionH relativeFrom="column">
            <wp:posOffset>-890170</wp:posOffset>
          </wp:positionH>
          <wp:positionV relativeFrom="paragraph">
            <wp:posOffset>-546163</wp:posOffset>
          </wp:positionV>
          <wp:extent cx="7570800" cy="116864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7570800" cy="1168646"/>
                  </a:xfrm>
                  <a:prstGeom prst="rect">
                    <a:avLst/>
                  </a:prstGeom>
                </pic:spPr>
              </pic:pic>
            </a:graphicData>
          </a:graphic>
          <wp14:sizeRelH relativeFrom="margin">
            <wp14:pctWidth>0</wp14:pctWidth>
          </wp14:sizeRelH>
          <wp14:sizeRelV relativeFrom="margin">
            <wp14:pctHeight>0</wp14:pctHeight>
          </wp14:sizeRelV>
        </wp:anchor>
      </w:drawing>
    </w:r>
    <w:r w:rsidR="00730CE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5D92" w14:textId="77777777" w:rsidR="00907652" w:rsidRDefault="009076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0D5D2" w14:textId="77777777" w:rsidR="0068107E" w:rsidRDefault="0068107E" w:rsidP="00525B32">
      <w:r>
        <w:separator/>
      </w:r>
    </w:p>
  </w:footnote>
  <w:footnote w:type="continuationSeparator" w:id="0">
    <w:p w14:paraId="0334856C" w14:textId="77777777" w:rsidR="0068107E" w:rsidRDefault="0068107E" w:rsidP="00525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C61F" w14:textId="77777777" w:rsidR="00907652" w:rsidRDefault="009076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C59D" w14:textId="737F2CD1" w:rsidR="00BC41C4" w:rsidRDefault="00614D9E" w:rsidP="00525B32">
    <w:pPr>
      <w:pStyle w:val="Kopfzeile"/>
    </w:pPr>
    <w:r>
      <w:rPr>
        <w:noProof/>
      </w:rPr>
      <w:drawing>
        <wp:anchor distT="0" distB="0" distL="114300" distR="114300" simplePos="0" relativeHeight="251663360" behindDoc="1" locked="0" layoutInCell="1" allowOverlap="1" wp14:anchorId="42694420" wp14:editId="69793AB2">
          <wp:simplePos x="0" y="0"/>
          <wp:positionH relativeFrom="rightMargin">
            <wp:align>left</wp:align>
          </wp:positionH>
          <wp:positionV relativeFrom="paragraph">
            <wp:posOffset>-179757</wp:posOffset>
          </wp:positionV>
          <wp:extent cx="2122170" cy="8362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stretch>
                    <a:fillRect/>
                  </a:stretch>
                </pic:blipFill>
                <pic:spPr>
                  <a:xfrm>
                    <a:off x="0" y="0"/>
                    <a:ext cx="2122241" cy="836351"/>
                  </a:xfrm>
                  <a:prstGeom prst="rect">
                    <a:avLst/>
                  </a:prstGeom>
                </pic:spPr>
              </pic:pic>
            </a:graphicData>
          </a:graphic>
          <wp14:sizeRelH relativeFrom="margin">
            <wp14:pctWidth>0</wp14:pctWidth>
          </wp14:sizeRelH>
          <wp14:sizeRelV relativeFrom="margin">
            <wp14:pctHeight>0</wp14:pctHeight>
          </wp14:sizeRelV>
        </wp:anchor>
      </w:drawing>
    </w:r>
    <w:r w:rsidR="00F1717C">
      <w:rPr>
        <w:noProof/>
      </w:rPr>
      <w:drawing>
        <wp:anchor distT="0" distB="0" distL="114300" distR="114300" simplePos="0" relativeHeight="251666432" behindDoc="1" locked="0" layoutInCell="1" allowOverlap="1" wp14:anchorId="40C80C31" wp14:editId="70E73613">
          <wp:simplePos x="0" y="0"/>
          <wp:positionH relativeFrom="column">
            <wp:posOffset>-360045</wp:posOffset>
          </wp:positionH>
          <wp:positionV relativeFrom="paragraph">
            <wp:posOffset>-180340</wp:posOffset>
          </wp:positionV>
          <wp:extent cx="889200" cy="1051200"/>
          <wp:effectExtent l="0" t="0" r="0" b="3175"/>
          <wp:wrapNone/>
          <wp:docPr id="2" name="Bild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Ein Bild, das Tex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200" cy="1051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837D" w14:textId="77777777" w:rsidR="00907652" w:rsidRDefault="009076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E769F"/>
    <w:multiLevelType w:val="hybridMultilevel"/>
    <w:tmpl w:val="CD04B03A"/>
    <w:lvl w:ilvl="0" w:tplc="33387324">
      <w:start w:val="1"/>
      <w:numFmt w:val="decimal"/>
      <w:lvlText w:val="%1)"/>
      <w:lvlJc w:val="left"/>
      <w:pPr>
        <w:tabs>
          <w:tab w:val="num" w:pos="1065"/>
        </w:tabs>
        <w:ind w:left="1065" w:hanging="360"/>
      </w:pPr>
      <w:rPr>
        <w:rFonts w:cs="Times New Roman" w:hint="default"/>
      </w:rPr>
    </w:lvl>
    <w:lvl w:ilvl="1" w:tplc="04070019">
      <w:start w:val="1"/>
      <w:numFmt w:val="lowerLetter"/>
      <w:lvlText w:val="%2."/>
      <w:lvlJc w:val="left"/>
      <w:pPr>
        <w:tabs>
          <w:tab w:val="num" w:pos="1785"/>
        </w:tabs>
        <w:ind w:left="1785" w:hanging="360"/>
      </w:pPr>
      <w:rPr>
        <w:rFonts w:cs="Times New Roman"/>
      </w:rPr>
    </w:lvl>
    <w:lvl w:ilvl="2" w:tplc="0407001B">
      <w:start w:val="1"/>
      <w:numFmt w:val="lowerRoman"/>
      <w:lvlText w:val="%3."/>
      <w:lvlJc w:val="right"/>
      <w:pPr>
        <w:tabs>
          <w:tab w:val="num" w:pos="2505"/>
        </w:tabs>
        <w:ind w:left="2505" w:hanging="180"/>
      </w:pPr>
      <w:rPr>
        <w:rFonts w:cs="Times New Roman"/>
      </w:rPr>
    </w:lvl>
    <w:lvl w:ilvl="3" w:tplc="0407000F">
      <w:start w:val="1"/>
      <w:numFmt w:val="decimal"/>
      <w:lvlText w:val="%4."/>
      <w:lvlJc w:val="left"/>
      <w:pPr>
        <w:tabs>
          <w:tab w:val="num" w:pos="3225"/>
        </w:tabs>
        <w:ind w:left="3225" w:hanging="360"/>
      </w:pPr>
      <w:rPr>
        <w:rFonts w:cs="Times New Roman"/>
      </w:rPr>
    </w:lvl>
    <w:lvl w:ilvl="4" w:tplc="04070019">
      <w:start w:val="1"/>
      <w:numFmt w:val="lowerLetter"/>
      <w:lvlText w:val="%5."/>
      <w:lvlJc w:val="left"/>
      <w:pPr>
        <w:tabs>
          <w:tab w:val="num" w:pos="3945"/>
        </w:tabs>
        <w:ind w:left="3945" w:hanging="360"/>
      </w:pPr>
      <w:rPr>
        <w:rFonts w:cs="Times New Roman"/>
      </w:rPr>
    </w:lvl>
    <w:lvl w:ilvl="5" w:tplc="0407001B">
      <w:start w:val="1"/>
      <w:numFmt w:val="lowerRoman"/>
      <w:lvlText w:val="%6."/>
      <w:lvlJc w:val="right"/>
      <w:pPr>
        <w:tabs>
          <w:tab w:val="num" w:pos="4665"/>
        </w:tabs>
        <w:ind w:left="4665" w:hanging="180"/>
      </w:pPr>
      <w:rPr>
        <w:rFonts w:cs="Times New Roman"/>
      </w:rPr>
    </w:lvl>
    <w:lvl w:ilvl="6" w:tplc="0407000F">
      <w:start w:val="1"/>
      <w:numFmt w:val="decimal"/>
      <w:lvlText w:val="%7."/>
      <w:lvlJc w:val="left"/>
      <w:pPr>
        <w:tabs>
          <w:tab w:val="num" w:pos="5385"/>
        </w:tabs>
        <w:ind w:left="5385" w:hanging="360"/>
      </w:pPr>
      <w:rPr>
        <w:rFonts w:cs="Times New Roman"/>
      </w:rPr>
    </w:lvl>
    <w:lvl w:ilvl="7" w:tplc="04070019">
      <w:start w:val="1"/>
      <w:numFmt w:val="lowerLetter"/>
      <w:lvlText w:val="%8."/>
      <w:lvlJc w:val="left"/>
      <w:pPr>
        <w:tabs>
          <w:tab w:val="num" w:pos="6105"/>
        </w:tabs>
        <w:ind w:left="6105" w:hanging="360"/>
      </w:pPr>
      <w:rPr>
        <w:rFonts w:cs="Times New Roman"/>
      </w:rPr>
    </w:lvl>
    <w:lvl w:ilvl="8" w:tplc="0407001B">
      <w:start w:val="1"/>
      <w:numFmt w:val="lowerRoman"/>
      <w:lvlText w:val="%9."/>
      <w:lvlJc w:val="right"/>
      <w:pPr>
        <w:tabs>
          <w:tab w:val="num" w:pos="6825"/>
        </w:tabs>
        <w:ind w:left="6825" w:hanging="180"/>
      </w:pPr>
      <w:rPr>
        <w:rFonts w:cs="Times New Roman"/>
      </w:rPr>
    </w:lvl>
  </w:abstractNum>
  <w:abstractNum w:abstractNumId="1" w15:restartNumberingAfterBreak="0">
    <w:nsid w:val="634A611A"/>
    <w:multiLevelType w:val="hybridMultilevel"/>
    <w:tmpl w:val="C7465AC2"/>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1B"/>
    <w:rsid w:val="00005287"/>
    <w:rsid w:val="00012989"/>
    <w:rsid w:val="000156C0"/>
    <w:rsid w:val="00032DCC"/>
    <w:rsid w:val="00032E96"/>
    <w:rsid w:val="0003789D"/>
    <w:rsid w:val="00044056"/>
    <w:rsid w:val="0004535A"/>
    <w:rsid w:val="00060324"/>
    <w:rsid w:val="00060E9F"/>
    <w:rsid w:val="00066D01"/>
    <w:rsid w:val="000757B1"/>
    <w:rsid w:val="00085C6C"/>
    <w:rsid w:val="00087558"/>
    <w:rsid w:val="000901CC"/>
    <w:rsid w:val="000A76D0"/>
    <w:rsid w:val="000C5C8A"/>
    <w:rsid w:val="000D3EAD"/>
    <w:rsid w:val="00105F57"/>
    <w:rsid w:val="00116AB1"/>
    <w:rsid w:val="00123A06"/>
    <w:rsid w:val="001353D5"/>
    <w:rsid w:val="001509B7"/>
    <w:rsid w:val="00151E93"/>
    <w:rsid w:val="001564C7"/>
    <w:rsid w:val="00170E53"/>
    <w:rsid w:val="0017464D"/>
    <w:rsid w:val="001755A4"/>
    <w:rsid w:val="00176090"/>
    <w:rsid w:val="00184802"/>
    <w:rsid w:val="0019566B"/>
    <w:rsid w:val="001A40B6"/>
    <w:rsid w:val="001A768D"/>
    <w:rsid w:val="001B17E8"/>
    <w:rsid w:val="001C0461"/>
    <w:rsid w:val="001D45D5"/>
    <w:rsid w:val="001D7BE2"/>
    <w:rsid w:val="001F0517"/>
    <w:rsid w:val="00202564"/>
    <w:rsid w:val="0021543A"/>
    <w:rsid w:val="0021643F"/>
    <w:rsid w:val="00222272"/>
    <w:rsid w:val="00223D63"/>
    <w:rsid w:val="00240595"/>
    <w:rsid w:val="00241833"/>
    <w:rsid w:val="0025460A"/>
    <w:rsid w:val="00255756"/>
    <w:rsid w:val="0026406C"/>
    <w:rsid w:val="00267382"/>
    <w:rsid w:val="00267860"/>
    <w:rsid w:val="00273611"/>
    <w:rsid w:val="002876E1"/>
    <w:rsid w:val="0029096B"/>
    <w:rsid w:val="00294416"/>
    <w:rsid w:val="00295F84"/>
    <w:rsid w:val="002A0382"/>
    <w:rsid w:val="002A0FB4"/>
    <w:rsid w:val="002B4A98"/>
    <w:rsid w:val="002C0356"/>
    <w:rsid w:val="002D6BEC"/>
    <w:rsid w:val="002E10D6"/>
    <w:rsid w:val="002E6BBF"/>
    <w:rsid w:val="002F0ABC"/>
    <w:rsid w:val="0030576B"/>
    <w:rsid w:val="00311CFF"/>
    <w:rsid w:val="003171E7"/>
    <w:rsid w:val="00323E52"/>
    <w:rsid w:val="00333CFB"/>
    <w:rsid w:val="00340918"/>
    <w:rsid w:val="00340C8C"/>
    <w:rsid w:val="00341D69"/>
    <w:rsid w:val="00342B8E"/>
    <w:rsid w:val="00346C32"/>
    <w:rsid w:val="003607B6"/>
    <w:rsid w:val="003631E1"/>
    <w:rsid w:val="00367692"/>
    <w:rsid w:val="00374234"/>
    <w:rsid w:val="00385207"/>
    <w:rsid w:val="00395550"/>
    <w:rsid w:val="003A7773"/>
    <w:rsid w:val="003B1E6C"/>
    <w:rsid w:val="003B3679"/>
    <w:rsid w:val="003C5916"/>
    <w:rsid w:val="003D384F"/>
    <w:rsid w:val="003E6B32"/>
    <w:rsid w:val="003F0E0D"/>
    <w:rsid w:val="003F1B67"/>
    <w:rsid w:val="003F3A14"/>
    <w:rsid w:val="003F4293"/>
    <w:rsid w:val="003F54AB"/>
    <w:rsid w:val="003F5EFA"/>
    <w:rsid w:val="00404C74"/>
    <w:rsid w:val="00411EFF"/>
    <w:rsid w:val="00416C51"/>
    <w:rsid w:val="004220DC"/>
    <w:rsid w:val="004257AB"/>
    <w:rsid w:val="00441730"/>
    <w:rsid w:val="004464C1"/>
    <w:rsid w:val="00453DB1"/>
    <w:rsid w:val="0045529E"/>
    <w:rsid w:val="004559A8"/>
    <w:rsid w:val="00461025"/>
    <w:rsid w:val="004649D4"/>
    <w:rsid w:val="00465A6C"/>
    <w:rsid w:val="004910BE"/>
    <w:rsid w:val="00491C6C"/>
    <w:rsid w:val="00493D8F"/>
    <w:rsid w:val="004A1A64"/>
    <w:rsid w:val="004A3F6A"/>
    <w:rsid w:val="004A6F08"/>
    <w:rsid w:val="004C06DA"/>
    <w:rsid w:val="004D0984"/>
    <w:rsid w:val="004E3756"/>
    <w:rsid w:val="004F735E"/>
    <w:rsid w:val="005148E5"/>
    <w:rsid w:val="0051752E"/>
    <w:rsid w:val="00525B32"/>
    <w:rsid w:val="00526B1B"/>
    <w:rsid w:val="00532F0A"/>
    <w:rsid w:val="005554E2"/>
    <w:rsid w:val="00557A6C"/>
    <w:rsid w:val="0058383F"/>
    <w:rsid w:val="00585463"/>
    <w:rsid w:val="00586C10"/>
    <w:rsid w:val="005920E4"/>
    <w:rsid w:val="00596F8C"/>
    <w:rsid w:val="005A1A3B"/>
    <w:rsid w:val="005A6639"/>
    <w:rsid w:val="005A70B8"/>
    <w:rsid w:val="005B460E"/>
    <w:rsid w:val="005B75E3"/>
    <w:rsid w:val="005C552C"/>
    <w:rsid w:val="005C6EEC"/>
    <w:rsid w:val="005C78D7"/>
    <w:rsid w:val="005D705C"/>
    <w:rsid w:val="005E4C81"/>
    <w:rsid w:val="005F22A3"/>
    <w:rsid w:val="00614D9E"/>
    <w:rsid w:val="00623A23"/>
    <w:rsid w:val="00623E28"/>
    <w:rsid w:val="00623FE1"/>
    <w:rsid w:val="00625E6F"/>
    <w:rsid w:val="00626A7C"/>
    <w:rsid w:val="00627F08"/>
    <w:rsid w:val="00635302"/>
    <w:rsid w:val="0064645C"/>
    <w:rsid w:val="00646906"/>
    <w:rsid w:val="0067154D"/>
    <w:rsid w:val="0068107E"/>
    <w:rsid w:val="0068628C"/>
    <w:rsid w:val="006A0CA8"/>
    <w:rsid w:val="006A2EC2"/>
    <w:rsid w:val="006A675D"/>
    <w:rsid w:val="006B3452"/>
    <w:rsid w:val="006C6C95"/>
    <w:rsid w:val="006D16F5"/>
    <w:rsid w:val="006E13BA"/>
    <w:rsid w:val="006E5601"/>
    <w:rsid w:val="006F42DB"/>
    <w:rsid w:val="006F4D94"/>
    <w:rsid w:val="007040E6"/>
    <w:rsid w:val="00704CD6"/>
    <w:rsid w:val="0070519E"/>
    <w:rsid w:val="007209D1"/>
    <w:rsid w:val="00730CE9"/>
    <w:rsid w:val="00733BE0"/>
    <w:rsid w:val="00737A1B"/>
    <w:rsid w:val="007440A4"/>
    <w:rsid w:val="00752F2A"/>
    <w:rsid w:val="00757385"/>
    <w:rsid w:val="007731A0"/>
    <w:rsid w:val="00780EB2"/>
    <w:rsid w:val="00790E19"/>
    <w:rsid w:val="00795C6F"/>
    <w:rsid w:val="00795EAC"/>
    <w:rsid w:val="007A6E91"/>
    <w:rsid w:val="007C2017"/>
    <w:rsid w:val="007C34FD"/>
    <w:rsid w:val="007C4BEF"/>
    <w:rsid w:val="007C53A0"/>
    <w:rsid w:val="007C6685"/>
    <w:rsid w:val="007D1A22"/>
    <w:rsid w:val="007D5186"/>
    <w:rsid w:val="007D790D"/>
    <w:rsid w:val="007E00F5"/>
    <w:rsid w:val="007E0AE3"/>
    <w:rsid w:val="007E27B8"/>
    <w:rsid w:val="007E6153"/>
    <w:rsid w:val="007F1C8F"/>
    <w:rsid w:val="007F1DAF"/>
    <w:rsid w:val="007F274C"/>
    <w:rsid w:val="00804D20"/>
    <w:rsid w:val="0081666B"/>
    <w:rsid w:val="00824464"/>
    <w:rsid w:val="00824F28"/>
    <w:rsid w:val="00825E82"/>
    <w:rsid w:val="00832F53"/>
    <w:rsid w:val="008420EC"/>
    <w:rsid w:val="00846CAB"/>
    <w:rsid w:val="0085080F"/>
    <w:rsid w:val="00860570"/>
    <w:rsid w:val="0086194B"/>
    <w:rsid w:val="00862870"/>
    <w:rsid w:val="00872A8E"/>
    <w:rsid w:val="008805F5"/>
    <w:rsid w:val="00882E57"/>
    <w:rsid w:val="0088317B"/>
    <w:rsid w:val="00884010"/>
    <w:rsid w:val="008869B7"/>
    <w:rsid w:val="00887D9A"/>
    <w:rsid w:val="008946C7"/>
    <w:rsid w:val="008A4768"/>
    <w:rsid w:val="008B3F4E"/>
    <w:rsid w:val="008B41CC"/>
    <w:rsid w:val="008B4B86"/>
    <w:rsid w:val="008B5DDF"/>
    <w:rsid w:val="008B6F8B"/>
    <w:rsid w:val="008B6F90"/>
    <w:rsid w:val="008B72E7"/>
    <w:rsid w:val="008C0E19"/>
    <w:rsid w:val="008C65B1"/>
    <w:rsid w:val="008D0A11"/>
    <w:rsid w:val="008D14E3"/>
    <w:rsid w:val="008D5AC3"/>
    <w:rsid w:val="008E0FC0"/>
    <w:rsid w:val="008F52B2"/>
    <w:rsid w:val="008F7724"/>
    <w:rsid w:val="00900E46"/>
    <w:rsid w:val="00907652"/>
    <w:rsid w:val="009163B9"/>
    <w:rsid w:val="00930055"/>
    <w:rsid w:val="00932B0B"/>
    <w:rsid w:val="00955B4D"/>
    <w:rsid w:val="009568EF"/>
    <w:rsid w:val="00956FE1"/>
    <w:rsid w:val="0095792B"/>
    <w:rsid w:val="009663CA"/>
    <w:rsid w:val="00967A1A"/>
    <w:rsid w:val="00972EA7"/>
    <w:rsid w:val="00980A9F"/>
    <w:rsid w:val="00983800"/>
    <w:rsid w:val="0099102D"/>
    <w:rsid w:val="009A36F4"/>
    <w:rsid w:val="009A7F4C"/>
    <w:rsid w:val="009B38A1"/>
    <w:rsid w:val="009C3B0C"/>
    <w:rsid w:val="009D03E7"/>
    <w:rsid w:val="009D0EB6"/>
    <w:rsid w:val="009D53BF"/>
    <w:rsid w:val="009E079E"/>
    <w:rsid w:val="009E3678"/>
    <w:rsid w:val="009F54F7"/>
    <w:rsid w:val="009F5ED8"/>
    <w:rsid w:val="00A01C97"/>
    <w:rsid w:val="00A02427"/>
    <w:rsid w:val="00A05A84"/>
    <w:rsid w:val="00A07A38"/>
    <w:rsid w:val="00A32383"/>
    <w:rsid w:val="00A35574"/>
    <w:rsid w:val="00A36A72"/>
    <w:rsid w:val="00A441D7"/>
    <w:rsid w:val="00A44ECA"/>
    <w:rsid w:val="00A5742C"/>
    <w:rsid w:val="00A57592"/>
    <w:rsid w:val="00A61A4C"/>
    <w:rsid w:val="00A625D3"/>
    <w:rsid w:val="00A81465"/>
    <w:rsid w:val="00AA3866"/>
    <w:rsid w:val="00AA4499"/>
    <w:rsid w:val="00AA4C98"/>
    <w:rsid w:val="00AB680D"/>
    <w:rsid w:val="00AC05DD"/>
    <w:rsid w:val="00AC3BDB"/>
    <w:rsid w:val="00AC3C99"/>
    <w:rsid w:val="00AD72C6"/>
    <w:rsid w:val="00AE5546"/>
    <w:rsid w:val="00AF028E"/>
    <w:rsid w:val="00AF1EA3"/>
    <w:rsid w:val="00AF42AA"/>
    <w:rsid w:val="00B04DBF"/>
    <w:rsid w:val="00B11521"/>
    <w:rsid w:val="00B270CB"/>
    <w:rsid w:val="00B30245"/>
    <w:rsid w:val="00B471BD"/>
    <w:rsid w:val="00B502B3"/>
    <w:rsid w:val="00B5433E"/>
    <w:rsid w:val="00B5638D"/>
    <w:rsid w:val="00B6198F"/>
    <w:rsid w:val="00B6573E"/>
    <w:rsid w:val="00B7253D"/>
    <w:rsid w:val="00B72EBC"/>
    <w:rsid w:val="00B75658"/>
    <w:rsid w:val="00B836CC"/>
    <w:rsid w:val="00BA6CE3"/>
    <w:rsid w:val="00BB0AF0"/>
    <w:rsid w:val="00BB3BB3"/>
    <w:rsid w:val="00BB4129"/>
    <w:rsid w:val="00BB41AB"/>
    <w:rsid w:val="00BC0CAC"/>
    <w:rsid w:val="00BC2E7B"/>
    <w:rsid w:val="00BC41C4"/>
    <w:rsid w:val="00BC7E60"/>
    <w:rsid w:val="00BD12F1"/>
    <w:rsid w:val="00BF32B5"/>
    <w:rsid w:val="00C034CA"/>
    <w:rsid w:val="00C128D6"/>
    <w:rsid w:val="00C1341B"/>
    <w:rsid w:val="00C7429C"/>
    <w:rsid w:val="00C75B4F"/>
    <w:rsid w:val="00C817D5"/>
    <w:rsid w:val="00C828FF"/>
    <w:rsid w:val="00C86858"/>
    <w:rsid w:val="00C90724"/>
    <w:rsid w:val="00C95708"/>
    <w:rsid w:val="00CA3214"/>
    <w:rsid w:val="00CB1856"/>
    <w:rsid w:val="00CB2586"/>
    <w:rsid w:val="00CC0DCE"/>
    <w:rsid w:val="00CC38CC"/>
    <w:rsid w:val="00CC5B6E"/>
    <w:rsid w:val="00CD3DAB"/>
    <w:rsid w:val="00CD4825"/>
    <w:rsid w:val="00CD55EA"/>
    <w:rsid w:val="00CD60BB"/>
    <w:rsid w:val="00CE789D"/>
    <w:rsid w:val="00D05512"/>
    <w:rsid w:val="00D10B68"/>
    <w:rsid w:val="00D16A1E"/>
    <w:rsid w:val="00D1768D"/>
    <w:rsid w:val="00D21B52"/>
    <w:rsid w:val="00D27606"/>
    <w:rsid w:val="00D768BE"/>
    <w:rsid w:val="00D80937"/>
    <w:rsid w:val="00D80AAA"/>
    <w:rsid w:val="00D86891"/>
    <w:rsid w:val="00D95DB2"/>
    <w:rsid w:val="00DA0491"/>
    <w:rsid w:val="00DA0A47"/>
    <w:rsid w:val="00DA312E"/>
    <w:rsid w:val="00DB43D9"/>
    <w:rsid w:val="00DB6543"/>
    <w:rsid w:val="00DC5D7B"/>
    <w:rsid w:val="00DE1889"/>
    <w:rsid w:val="00E0086C"/>
    <w:rsid w:val="00E02F04"/>
    <w:rsid w:val="00E14C5F"/>
    <w:rsid w:val="00E213FB"/>
    <w:rsid w:val="00E241B7"/>
    <w:rsid w:val="00E24266"/>
    <w:rsid w:val="00E24D85"/>
    <w:rsid w:val="00E2799A"/>
    <w:rsid w:val="00E27C57"/>
    <w:rsid w:val="00E63B05"/>
    <w:rsid w:val="00E6763C"/>
    <w:rsid w:val="00E720D9"/>
    <w:rsid w:val="00E74C49"/>
    <w:rsid w:val="00E77CF2"/>
    <w:rsid w:val="00E81E2D"/>
    <w:rsid w:val="00E836DE"/>
    <w:rsid w:val="00E91BEB"/>
    <w:rsid w:val="00E91DB8"/>
    <w:rsid w:val="00E92B51"/>
    <w:rsid w:val="00E92DFF"/>
    <w:rsid w:val="00E93C09"/>
    <w:rsid w:val="00EB2032"/>
    <w:rsid w:val="00EB3782"/>
    <w:rsid w:val="00EC4099"/>
    <w:rsid w:val="00ED1B5A"/>
    <w:rsid w:val="00ED24D5"/>
    <w:rsid w:val="00EE6E0A"/>
    <w:rsid w:val="00F01DD4"/>
    <w:rsid w:val="00F1717C"/>
    <w:rsid w:val="00F31838"/>
    <w:rsid w:val="00F327C1"/>
    <w:rsid w:val="00F33D00"/>
    <w:rsid w:val="00F40EE3"/>
    <w:rsid w:val="00F41C38"/>
    <w:rsid w:val="00F54E32"/>
    <w:rsid w:val="00F55068"/>
    <w:rsid w:val="00F55208"/>
    <w:rsid w:val="00F5615E"/>
    <w:rsid w:val="00F57DC3"/>
    <w:rsid w:val="00F70D84"/>
    <w:rsid w:val="00F809D6"/>
    <w:rsid w:val="00F87157"/>
    <w:rsid w:val="00F936B4"/>
    <w:rsid w:val="00F93F10"/>
    <w:rsid w:val="00F94003"/>
    <w:rsid w:val="00FA3F0F"/>
    <w:rsid w:val="00FB2141"/>
    <w:rsid w:val="00FC21B1"/>
    <w:rsid w:val="00FE64F6"/>
    <w:rsid w:val="00FF3F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5F8DDD"/>
  <w15:docId w15:val="{02C66A0E-20FB-4C7D-9657-AAA80DC8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5B32"/>
    <w:pPr>
      <w:ind w:right="-1539"/>
    </w:pPr>
    <w:rPr>
      <w:rFonts w:ascii="Arial Nova Cond" w:hAnsi="Arial Nova Cond" w:cs="Calibri"/>
      <w:iCs/>
      <w:color w:val="333333"/>
      <w:sz w:val="24"/>
      <w:szCs w:val="24"/>
      <w:lang w:eastAsia="de-DE"/>
    </w:rPr>
  </w:style>
  <w:style w:type="paragraph" w:styleId="berschrift1">
    <w:name w:val="heading 1"/>
    <w:basedOn w:val="Standard"/>
    <w:next w:val="Standard"/>
    <w:link w:val="berschrift1Zchn"/>
    <w:uiPriority w:val="99"/>
    <w:qFormat/>
    <w:rsid w:val="003D384F"/>
    <w:pPr>
      <w:keepNext/>
      <w:outlineLvl w:val="0"/>
    </w:pPr>
    <w:rPr>
      <w:b/>
      <w:bCs/>
      <w:i/>
      <w:iCs w:val="0"/>
      <w:sz w:val="28"/>
      <w:szCs w:val="28"/>
    </w:rPr>
  </w:style>
  <w:style w:type="paragraph" w:styleId="berschrift2">
    <w:name w:val="heading 2"/>
    <w:basedOn w:val="Standard"/>
    <w:next w:val="Standard"/>
    <w:link w:val="berschrift2Zchn"/>
    <w:uiPriority w:val="99"/>
    <w:qFormat/>
    <w:rsid w:val="003D384F"/>
    <w:pPr>
      <w:keepNext/>
      <w:outlineLvl w:val="1"/>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502B3"/>
    <w:rPr>
      <w:rFonts w:ascii="Cambria" w:hAnsi="Cambria" w:cs="Cambria"/>
      <w:b/>
      <w:bCs/>
      <w:kern w:val="32"/>
      <w:sz w:val="32"/>
      <w:szCs w:val="32"/>
      <w:lang w:eastAsia="de-DE"/>
    </w:rPr>
  </w:style>
  <w:style w:type="character" w:customStyle="1" w:styleId="berschrift2Zchn">
    <w:name w:val="Überschrift 2 Zchn"/>
    <w:basedOn w:val="Absatz-Standardschriftart"/>
    <w:link w:val="berschrift2"/>
    <w:uiPriority w:val="99"/>
    <w:semiHidden/>
    <w:locked/>
    <w:rsid w:val="00B502B3"/>
    <w:rPr>
      <w:rFonts w:ascii="Cambria" w:hAnsi="Cambria" w:cs="Cambria"/>
      <w:b/>
      <w:bCs/>
      <w:i/>
      <w:iCs/>
      <w:sz w:val="28"/>
      <w:szCs w:val="28"/>
      <w:lang w:eastAsia="de-DE"/>
    </w:rPr>
  </w:style>
  <w:style w:type="paragraph" w:styleId="Kopfzeile">
    <w:name w:val="header"/>
    <w:basedOn w:val="Standard"/>
    <w:link w:val="KopfzeileZchn"/>
    <w:uiPriority w:val="99"/>
    <w:semiHidden/>
    <w:rsid w:val="00CA3214"/>
    <w:pPr>
      <w:tabs>
        <w:tab w:val="center" w:pos="4536"/>
        <w:tab w:val="right" w:pos="9072"/>
      </w:tabs>
    </w:pPr>
    <w:rPr>
      <w:lang w:eastAsia="de-AT"/>
    </w:rPr>
  </w:style>
  <w:style w:type="character" w:customStyle="1" w:styleId="KopfzeileZchn">
    <w:name w:val="Kopfzeile Zchn"/>
    <w:basedOn w:val="Absatz-Standardschriftart"/>
    <w:link w:val="Kopfzeile"/>
    <w:uiPriority w:val="99"/>
    <w:semiHidden/>
    <w:locked/>
    <w:rsid w:val="00CA3214"/>
    <w:rPr>
      <w:rFonts w:ascii="Trebuchet MS" w:hAnsi="Trebuchet MS" w:cs="Trebuchet MS"/>
      <w:sz w:val="24"/>
      <w:szCs w:val="24"/>
      <w:lang w:val="de-AT"/>
    </w:rPr>
  </w:style>
  <w:style w:type="paragraph" w:styleId="Fuzeile">
    <w:name w:val="footer"/>
    <w:basedOn w:val="Standard"/>
    <w:link w:val="FuzeileZchn"/>
    <w:uiPriority w:val="99"/>
    <w:semiHidden/>
    <w:rsid w:val="00CA3214"/>
    <w:pPr>
      <w:tabs>
        <w:tab w:val="center" w:pos="4536"/>
        <w:tab w:val="right" w:pos="9072"/>
      </w:tabs>
    </w:pPr>
    <w:rPr>
      <w:lang w:eastAsia="de-AT"/>
    </w:rPr>
  </w:style>
  <w:style w:type="character" w:customStyle="1" w:styleId="FuzeileZchn">
    <w:name w:val="Fußzeile Zchn"/>
    <w:basedOn w:val="Absatz-Standardschriftart"/>
    <w:link w:val="Fuzeile"/>
    <w:uiPriority w:val="99"/>
    <w:semiHidden/>
    <w:locked/>
    <w:rsid w:val="00CA3214"/>
    <w:rPr>
      <w:rFonts w:ascii="Trebuchet MS" w:hAnsi="Trebuchet MS" w:cs="Trebuchet MS"/>
      <w:sz w:val="24"/>
      <w:szCs w:val="24"/>
      <w:lang w:val="de-AT"/>
    </w:rPr>
  </w:style>
  <w:style w:type="paragraph" w:styleId="Sprechblasentext">
    <w:name w:val="Balloon Text"/>
    <w:basedOn w:val="Standard"/>
    <w:link w:val="SprechblasentextZchn"/>
    <w:uiPriority w:val="99"/>
    <w:semiHidden/>
    <w:rsid w:val="002C0356"/>
    <w:rPr>
      <w:rFonts w:ascii="Tahoma" w:hAnsi="Tahoma" w:cs="Tahoma"/>
      <w:sz w:val="16"/>
      <w:szCs w:val="16"/>
      <w:lang w:eastAsia="de-AT"/>
    </w:rPr>
  </w:style>
  <w:style w:type="character" w:customStyle="1" w:styleId="SprechblasentextZchn">
    <w:name w:val="Sprechblasentext Zchn"/>
    <w:basedOn w:val="Absatz-Standardschriftart"/>
    <w:link w:val="Sprechblasentext"/>
    <w:uiPriority w:val="99"/>
    <w:semiHidden/>
    <w:locked/>
    <w:rsid w:val="002C0356"/>
    <w:rPr>
      <w:rFonts w:ascii="Tahoma" w:hAnsi="Tahoma" w:cs="Tahoma"/>
      <w:sz w:val="16"/>
      <w:szCs w:val="16"/>
      <w:lang w:val="de-AT"/>
    </w:rPr>
  </w:style>
  <w:style w:type="paragraph" w:styleId="Titel">
    <w:name w:val="Title"/>
    <w:basedOn w:val="Standard"/>
    <w:next w:val="Standard"/>
    <w:link w:val="TitelZchn"/>
    <w:qFormat/>
    <w:locked/>
    <w:rsid w:val="00525B32"/>
    <w:rPr>
      <w:b/>
      <w:bCs/>
      <w:spacing w:val="20"/>
      <w:sz w:val="32"/>
      <w:szCs w:val="32"/>
    </w:rPr>
  </w:style>
  <w:style w:type="character" w:customStyle="1" w:styleId="TitelZchn">
    <w:name w:val="Titel Zchn"/>
    <w:basedOn w:val="Absatz-Standardschriftart"/>
    <w:link w:val="Titel"/>
    <w:rsid w:val="00525B32"/>
    <w:rPr>
      <w:rFonts w:ascii="Arial Nova Cond" w:hAnsi="Arial Nova Cond" w:cs="Calibri"/>
      <w:b/>
      <w:bCs/>
      <w:iCs/>
      <w:color w:val="333333"/>
      <w:spacing w:val="20"/>
      <w:sz w:val="32"/>
      <w:szCs w:val="32"/>
      <w:lang w:eastAsia="de-DE"/>
    </w:rPr>
  </w:style>
  <w:style w:type="character" w:styleId="Hyperlink">
    <w:name w:val="Hyperlink"/>
    <w:basedOn w:val="Absatz-Standardschriftart"/>
    <w:uiPriority w:val="99"/>
    <w:rsid w:val="002F0ABC"/>
    <w:rPr>
      <w:rFonts w:cs="Times New Roman"/>
      <w:color w:val="0000FF"/>
      <w:u w:val="single"/>
    </w:rPr>
  </w:style>
  <w:style w:type="character" w:styleId="BesuchterLink">
    <w:name w:val="FollowedHyperlink"/>
    <w:basedOn w:val="Absatz-Standardschriftart"/>
    <w:uiPriority w:val="99"/>
    <w:semiHidden/>
    <w:unhideWhenUsed/>
    <w:rsid w:val="002F0A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3274">
      <w:marLeft w:val="0"/>
      <w:marRight w:val="0"/>
      <w:marTop w:val="0"/>
      <w:marBottom w:val="0"/>
      <w:divBdr>
        <w:top w:val="none" w:sz="0" w:space="0" w:color="auto"/>
        <w:left w:val="none" w:sz="0" w:space="0" w:color="auto"/>
        <w:bottom w:val="none" w:sz="0" w:space="0" w:color="auto"/>
        <w:right w:val="none" w:sz="0" w:space="0" w:color="auto"/>
      </w:divBdr>
    </w:div>
    <w:div w:id="281153275">
      <w:marLeft w:val="0"/>
      <w:marRight w:val="0"/>
      <w:marTop w:val="0"/>
      <w:marBottom w:val="0"/>
      <w:divBdr>
        <w:top w:val="none" w:sz="0" w:space="0" w:color="auto"/>
        <w:left w:val="none" w:sz="0" w:space="0" w:color="auto"/>
        <w:bottom w:val="none" w:sz="0" w:space="0" w:color="auto"/>
        <w:right w:val="none" w:sz="0" w:space="0" w:color="auto"/>
      </w:divBdr>
    </w:div>
    <w:div w:id="281153276">
      <w:marLeft w:val="0"/>
      <w:marRight w:val="0"/>
      <w:marTop w:val="0"/>
      <w:marBottom w:val="0"/>
      <w:divBdr>
        <w:top w:val="none" w:sz="0" w:space="0" w:color="auto"/>
        <w:left w:val="none" w:sz="0" w:space="0" w:color="auto"/>
        <w:bottom w:val="none" w:sz="0" w:space="0" w:color="auto"/>
        <w:right w:val="none" w:sz="0" w:space="0" w:color="auto"/>
      </w:divBdr>
    </w:div>
    <w:div w:id="281153277">
      <w:marLeft w:val="0"/>
      <w:marRight w:val="0"/>
      <w:marTop w:val="0"/>
      <w:marBottom w:val="0"/>
      <w:divBdr>
        <w:top w:val="none" w:sz="0" w:space="0" w:color="auto"/>
        <w:left w:val="none" w:sz="0" w:space="0" w:color="auto"/>
        <w:bottom w:val="none" w:sz="0" w:space="0" w:color="auto"/>
        <w:right w:val="none" w:sz="0" w:space="0" w:color="auto"/>
      </w:divBdr>
    </w:div>
    <w:div w:id="281153278">
      <w:marLeft w:val="0"/>
      <w:marRight w:val="0"/>
      <w:marTop w:val="0"/>
      <w:marBottom w:val="0"/>
      <w:divBdr>
        <w:top w:val="none" w:sz="0" w:space="0" w:color="auto"/>
        <w:left w:val="none" w:sz="0" w:space="0" w:color="auto"/>
        <w:bottom w:val="none" w:sz="0" w:space="0" w:color="auto"/>
        <w:right w:val="none" w:sz="0" w:space="0" w:color="auto"/>
      </w:divBdr>
    </w:div>
    <w:div w:id="156876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tistik.at/web_de/statistiken/menschen_und_gesellschaft/soziales/personen-einkommen/jaehrliche_personen_einkommen/index.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atistik.at/web_de/statistiken/menschen_und_gesellschaft/soziales/personen-einkommen/jaehrliche_personen_einkommen/index.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6729</Characters>
  <Application>Microsoft Office Word</Application>
  <DocSecurity>0</DocSecurity>
  <Lines>155</Lines>
  <Paragraphs>48</Paragraphs>
  <ScaleCrop>false</ScaleCrop>
  <HeadingPairs>
    <vt:vector size="2" baseType="variant">
      <vt:variant>
        <vt:lpstr>Titel</vt:lpstr>
      </vt:variant>
      <vt:variant>
        <vt:i4>1</vt:i4>
      </vt:variant>
    </vt:vector>
  </HeadingPairs>
  <TitlesOfParts>
    <vt:vector size="1" baseType="lpstr">
      <vt:lpstr>BPW Pressemeldung zum Equal Pay Day 2022</vt:lpstr>
    </vt:vector>
  </TitlesOfParts>
  <Manager/>
  <Company>https://equal-pay-day.at</Company>
  <LinksUpToDate>false</LinksUpToDate>
  <CharactersWithSpaces>7842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BPW Pressemeldung zum Equal Pay Day 2022</dc:title>
  <dc:subject/>
  <dc:creator>BPW Austria</dc:creator>
  <cp:keywords/>
  <dc:description/>
  <cp:lastModifiedBy>Ulrike Gutkas</cp:lastModifiedBy>
  <cp:revision>16</cp:revision>
  <cp:lastPrinted>2021-10-13T16:07:00Z</cp:lastPrinted>
  <dcterms:created xsi:type="dcterms:W3CDTF">2022-01-31T10:29:00Z</dcterms:created>
  <dcterms:modified xsi:type="dcterms:W3CDTF">2022-02-01T14:18:00Z</dcterms:modified>
  <cp:category/>
</cp:coreProperties>
</file>